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21FC9" w14:textId="166AE8AA" w:rsidR="00F121AD" w:rsidRDefault="00232342" w:rsidP="00F121AD">
      <w:pPr>
        <w:pStyle w:val="Encabezado"/>
        <w:tabs>
          <w:tab w:val="clear" w:pos="8504"/>
          <w:tab w:val="left" w:pos="0"/>
          <w:tab w:val="right" w:pos="9356"/>
        </w:tabs>
        <w:spacing w:before="0" w:after="0"/>
        <w:jc w:val="center"/>
        <w:rPr>
          <w:rFonts w:ascii="Bookman Old Style" w:hAnsi="Bookman Old Style"/>
          <w:b/>
          <w:szCs w:val="24"/>
        </w:rPr>
      </w:pPr>
      <w:r>
        <w:rPr>
          <w:rFonts w:ascii="Bookman Old Style" w:hAnsi="Bookman Old Style"/>
          <w:b/>
          <w:noProof/>
          <w:szCs w:val="24"/>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2pt;margin-top:-40.8pt;width:52.5pt;height:48.75pt;z-index:251658240" fillcolor="#0c9">
            <v:imagedata r:id="rId11" o:title=""/>
          </v:shape>
          <o:OLEObject Type="Embed" ProgID="PBrush" ShapeID="_x0000_s2050" DrawAspect="Content" ObjectID="_1736325575" r:id="rId12"/>
        </w:object>
      </w:r>
    </w:p>
    <w:p w14:paraId="4BFCBBDF" w14:textId="65CD7769" w:rsidR="00CA77FB" w:rsidRPr="00CB7980" w:rsidRDefault="00CA77FB" w:rsidP="00F121AD">
      <w:pPr>
        <w:pStyle w:val="Encabezado"/>
        <w:tabs>
          <w:tab w:val="clear" w:pos="8504"/>
          <w:tab w:val="left" w:pos="0"/>
          <w:tab w:val="right" w:pos="9356"/>
        </w:tabs>
        <w:spacing w:before="0" w:after="0"/>
        <w:jc w:val="center"/>
        <w:rPr>
          <w:rFonts w:ascii="Bookman Old Style" w:hAnsi="Bookman Old Style"/>
          <w:b/>
          <w:noProof/>
          <w:szCs w:val="24"/>
          <w:lang w:val="es-ES"/>
        </w:rPr>
      </w:pPr>
      <w:r w:rsidRPr="00CB7980">
        <w:rPr>
          <w:rFonts w:ascii="Bookman Old Style" w:hAnsi="Bookman Old Style"/>
          <w:b/>
          <w:szCs w:val="24"/>
        </w:rPr>
        <w:t>Ministerio de Minas y Energía</w:t>
      </w:r>
    </w:p>
    <w:p w14:paraId="39C03CFE" w14:textId="77777777" w:rsidR="00CA77FB" w:rsidRPr="006C40B0" w:rsidRDefault="00CA77FB" w:rsidP="00CB7980">
      <w:pPr>
        <w:spacing w:before="360" w:after="0"/>
        <w:jc w:val="center"/>
        <w:rPr>
          <w:rFonts w:cs="Arial"/>
          <w:b/>
          <w:bCs/>
          <w:spacing w:val="20"/>
        </w:rPr>
      </w:pPr>
      <w:r w:rsidRPr="006C40B0">
        <w:rPr>
          <w:rFonts w:cs="Arial"/>
          <w:b/>
          <w:bCs/>
          <w:spacing w:val="20"/>
        </w:rPr>
        <w:t>COMISIÓN DE REGULACIÓN DE ENERGÍA Y GAS</w:t>
      </w:r>
    </w:p>
    <w:p w14:paraId="1EF0B417" w14:textId="1B54AFCA" w:rsidR="00CA77FB" w:rsidRPr="006C40B0" w:rsidRDefault="009959D1" w:rsidP="006C40B0">
      <w:pPr>
        <w:spacing w:before="360" w:after="0"/>
        <w:jc w:val="center"/>
        <w:rPr>
          <w:b/>
          <w:bCs/>
        </w:rPr>
      </w:pPr>
      <w:r w:rsidRPr="006C40B0">
        <w:rPr>
          <w:b/>
          <w:bCs/>
        </w:rPr>
        <w:t>R</w:t>
      </w:r>
      <w:r w:rsidR="00CA77FB" w:rsidRPr="006C40B0">
        <w:rPr>
          <w:b/>
          <w:bCs/>
        </w:rPr>
        <w:t xml:space="preserve">ESOLUCIÓN No. </w:t>
      </w:r>
      <w:r w:rsidR="0075222B">
        <w:rPr>
          <w:b/>
          <w:bCs/>
          <w:sz w:val="32"/>
          <w:szCs w:val="32"/>
        </w:rPr>
        <w:t>101 003</w:t>
      </w:r>
    </w:p>
    <w:p w14:paraId="1339ABB4" w14:textId="7EF46964" w:rsidR="00CA77FB" w:rsidRPr="00BF69C9" w:rsidRDefault="00CA77FB" w:rsidP="006C40B0">
      <w:pPr>
        <w:spacing w:before="240" w:after="0"/>
        <w:jc w:val="center"/>
        <w:rPr>
          <w:b/>
        </w:rPr>
      </w:pPr>
      <w:r w:rsidRPr="00BF69C9">
        <w:t>(</w:t>
      </w:r>
      <w:r w:rsidR="0075222B" w:rsidRPr="0075222B">
        <w:rPr>
          <w:b/>
          <w:bCs/>
          <w:sz w:val="32"/>
          <w:szCs w:val="32"/>
        </w:rPr>
        <w:t>20 ENE</w:t>
      </w:r>
      <w:r w:rsidR="00F121AD" w:rsidRPr="00F121AD">
        <w:rPr>
          <w:b/>
          <w:bCs/>
          <w:sz w:val="32"/>
          <w:szCs w:val="32"/>
        </w:rPr>
        <w:t xml:space="preserve">. </w:t>
      </w:r>
      <w:r w:rsidR="00E70532" w:rsidRPr="00F121AD">
        <w:rPr>
          <w:b/>
          <w:bCs/>
          <w:sz w:val="32"/>
          <w:szCs w:val="32"/>
        </w:rPr>
        <w:t>202</w:t>
      </w:r>
      <w:r w:rsidR="00353F54">
        <w:rPr>
          <w:b/>
          <w:bCs/>
          <w:sz w:val="32"/>
          <w:szCs w:val="32"/>
        </w:rPr>
        <w:t>3</w:t>
      </w:r>
      <w:r w:rsidRPr="00BF69C9">
        <w:t>)</w:t>
      </w:r>
    </w:p>
    <w:p w14:paraId="02C94889" w14:textId="77777777" w:rsidR="009959D1" w:rsidRDefault="009959D1" w:rsidP="00897260">
      <w:pPr>
        <w:spacing w:before="0" w:after="0"/>
        <w:jc w:val="center"/>
      </w:pPr>
    </w:p>
    <w:p w14:paraId="52264937" w14:textId="1393110D" w:rsidR="003A0B61" w:rsidRPr="00B84711" w:rsidRDefault="003B63B0" w:rsidP="00307A1C">
      <w:pPr>
        <w:spacing w:before="240" w:after="0"/>
        <w:jc w:val="center"/>
      </w:pPr>
      <w:bookmarkStart w:id="0" w:name="epigrafe"/>
      <w:r w:rsidRPr="008B23E3">
        <w:t>Por la cual</w:t>
      </w:r>
      <w:r>
        <w:t xml:space="preserve"> se</w:t>
      </w:r>
      <w:r w:rsidRPr="008B23E3">
        <w:t xml:space="preserve"> </w:t>
      </w:r>
      <w:r>
        <w:t>complementan las resoluciones CREG 180 de 2014 y 015 de 2018</w:t>
      </w:r>
      <w:r w:rsidRPr="00122B09">
        <w:t xml:space="preserve"> </w:t>
      </w:r>
      <w:r>
        <w:t xml:space="preserve">para tramitar las solicitudes </w:t>
      </w:r>
      <w:r w:rsidR="00582E5D">
        <w:t xml:space="preserve">de cargos </w:t>
      </w:r>
      <w:r>
        <w:t xml:space="preserve">de las empresas </w:t>
      </w:r>
      <w:r w:rsidR="006C06F2">
        <w:t xml:space="preserve">prestadoras del servicio </w:t>
      </w:r>
      <w:r w:rsidR="00D0426D">
        <w:t xml:space="preserve">que atienden mercados </w:t>
      </w:r>
      <w:r w:rsidR="006C06F2">
        <w:t xml:space="preserve">en ZNI </w:t>
      </w:r>
      <w:r>
        <w:t xml:space="preserve">que se </w:t>
      </w:r>
      <w:r w:rsidR="006C06F2">
        <w:t xml:space="preserve">conectan </w:t>
      </w:r>
      <w:r>
        <w:t>al SIN</w:t>
      </w:r>
      <w:bookmarkEnd w:id="0"/>
      <w:r w:rsidR="006C06F2">
        <w:t>,</w:t>
      </w:r>
      <w:r w:rsidR="00353F54">
        <w:t xml:space="preserve"> </w:t>
      </w:r>
      <w:r w:rsidR="00353F54" w:rsidRPr="00353F54">
        <w:t>y se modifican unas disposiciones de la Resolución CREG 091 de 2007</w:t>
      </w:r>
    </w:p>
    <w:p w14:paraId="132EC36A" w14:textId="77777777" w:rsidR="003A0B61" w:rsidRPr="00B84711" w:rsidRDefault="003A0B61" w:rsidP="003501F2">
      <w:pPr>
        <w:spacing w:before="360" w:after="0"/>
        <w:jc w:val="center"/>
        <w:rPr>
          <w:rFonts w:cs="Arial"/>
          <w:b/>
        </w:rPr>
      </w:pPr>
      <w:r w:rsidRPr="00B84711">
        <w:rPr>
          <w:rFonts w:cs="Arial"/>
          <w:b/>
        </w:rPr>
        <w:t>LA COMISIÓN DE REGULACIÓN DE ENERGÍA Y GAS</w:t>
      </w:r>
    </w:p>
    <w:p w14:paraId="32340FF8" w14:textId="77777777" w:rsidR="003A0B61" w:rsidRPr="00B84711" w:rsidRDefault="003A0B61" w:rsidP="00127B96">
      <w:pPr>
        <w:spacing w:before="480" w:after="0"/>
        <w:jc w:val="center"/>
      </w:pPr>
      <w:r w:rsidRPr="00B84711">
        <w:t>En ejercicio de sus atribuciones constitucionales y legales, en especial las conferidas por las Leyes 142 y 143 de 1994, y en desarrollo de los Decretos 1524 y 2253 de 1994</w:t>
      </w:r>
      <w:r>
        <w:t xml:space="preserve"> </w:t>
      </w:r>
      <w:r w:rsidRPr="00396D7A">
        <w:t>y 1260 de 2013</w:t>
      </w:r>
      <w:r>
        <w:t>, y</w:t>
      </w:r>
    </w:p>
    <w:p w14:paraId="25FAAE03" w14:textId="77777777" w:rsidR="003A0B61" w:rsidRPr="000B4378" w:rsidRDefault="003A0B61" w:rsidP="00127B96">
      <w:pPr>
        <w:spacing w:before="480" w:after="0"/>
        <w:jc w:val="center"/>
        <w:rPr>
          <w:b/>
          <w:spacing w:val="60"/>
        </w:rPr>
      </w:pPr>
      <w:r w:rsidRPr="000B4378">
        <w:rPr>
          <w:b/>
          <w:spacing w:val="60"/>
        </w:rPr>
        <w:t>CONSIDERANDO QUE:</w:t>
      </w:r>
    </w:p>
    <w:p w14:paraId="15913875" w14:textId="77777777" w:rsidR="0078724E" w:rsidRPr="00527064" w:rsidRDefault="0078724E" w:rsidP="00B64106">
      <w:pPr>
        <w:spacing w:before="240" w:after="0"/>
        <w:rPr>
          <w:rFonts w:cs="Arial"/>
          <w:lang w:val="es-CO" w:eastAsia="es-CO"/>
        </w:rPr>
      </w:pPr>
      <w:r w:rsidRPr="00527064">
        <w:rPr>
          <w:rFonts w:cs="Arial"/>
          <w:lang w:val="es-CO" w:eastAsia="es-CO"/>
        </w:rPr>
        <w:t xml:space="preserve">De conformidad con </w:t>
      </w:r>
      <w:r>
        <w:rPr>
          <w:rFonts w:cs="Arial"/>
          <w:lang w:val="es-CO" w:eastAsia="es-CO"/>
        </w:rPr>
        <w:t xml:space="preserve">el </w:t>
      </w:r>
      <w:r w:rsidRPr="00527064">
        <w:rPr>
          <w:rFonts w:cs="Arial"/>
          <w:lang w:val="es-CO" w:eastAsia="es-CO"/>
        </w:rPr>
        <w:t>artículo 20</w:t>
      </w:r>
      <w:r>
        <w:rPr>
          <w:rFonts w:cs="Arial"/>
          <w:lang w:val="es-CO" w:eastAsia="es-CO"/>
        </w:rPr>
        <w:t xml:space="preserve"> de </w:t>
      </w:r>
      <w:r w:rsidRPr="00527064">
        <w:rPr>
          <w:rFonts w:cs="Arial"/>
          <w:lang w:val="es-CO" w:eastAsia="es-CO"/>
        </w:rPr>
        <w:t>la Ley 143 de 1994, la función de regulación</w:t>
      </w:r>
      <w:r>
        <w:rPr>
          <w:rFonts w:cs="Arial"/>
          <w:lang w:val="es-CO" w:eastAsia="es-CO"/>
        </w:rPr>
        <w:t>,</w:t>
      </w:r>
      <w:r w:rsidRPr="00527064">
        <w:rPr>
          <w:rFonts w:cs="Arial"/>
          <w:lang w:val="es-CO" w:eastAsia="es-CO"/>
        </w:rPr>
        <w:t xml:space="preserve"> en relación con el sector energético</w:t>
      </w:r>
      <w:r>
        <w:rPr>
          <w:rFonts w:cs="Arial"/>
          <w:lang w:val="es-CO" w:eastAsia="es-CO"/>
        </w:rPr>
        <w:t>,</w:t>
      </w:r>
      <w:r w:rsidRPr="00527064">
        <w:rPr>
          <w:rFonts w:cs="Arial"/>
          <w:lang w:val="es-CO" w:eastAsia="es-CO"/>
        </w:rPr>
        <w:t xml:space="preserve"> tiene como objetivo básico asegurar una adecuada prestación</w:t>
      </w:r>
      <w:r w:rsidRPr="007C45E8">
        <w:rPr>
          <w:lang w:val="es-CO"/>
        </w:rPr>
        <w:t xml:space="preserve"> del servicio </w:t>
      </w:r>
      <w:r w:rsidRPr="00527064">
        <w:rPr>
          <w:rFonts w:cs="Arial"/>
          <w:lang w:val="es-CO" w:eastAsia="es-CO"/>
        </w:rPr>
        <w:t>mediante el aprovechamiento eficiente de los diferentes recursos energéticos, en beneficio del usuario en términos de calidad, oportunidad y costo del servicio.</w:t>
      </w:r>
    </w:p>
    <w:p w14:paraId="7F2F983F" w14:textId="77777777" w:rsidR="0078724E" w:rsidRDefault="0078724E" w:rsidP="0078724E">
      <w:pPr>
        <w:spacing w:after="0"/>
        <w:rPr>
          <w:rFonts w:cs="Arial"/>
          <w:lang w:val="es-CO" w:eastAsia="es-CO"/>
        </w:rPr>
      </w:pPr>
      <w:r w:rsidRPr="00527064">
        <w:rPr>
          <w:rFonts w:cs="Arial"/>
          <w:lang w:val="es-CO" w:eastAsia="es-CO"/>
        </w:rPr>
        <w:t>Para el logro del mencionado objetivo legal, la citada Ley le asignó a la Comisión de Regulación de Energía y Gas, CREG,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14:paraId="5FF0AE7B" w14:textId="3B135B51" w:rsidR="0078724E" w:rsidRDefault="0078724E" w:rsidP="0078724E">
      <w:pPr>
        <w:spacing w:after="0"/>
        <w:rPr>
          <w:rFonts w:cs="Arial"/>
          <w:lang w:val="es-CO" w:eastAsia="es-CO"/>
        </w:rPr>
      </w:pPr>
      <w:r>
        <w:rPr>
          <w:rFonts w:cs="Arial"/>
          <w:lang w:eastAsia="es-CO"/>
        </w:rPr>
        <w:t>El numeral</w:t>
      </w:r>
      <w:r w:rsidRPr="0009453D">
        <w:rPr>
          <w:rFonts w:cs="Arial"/>
          <w:lang w:eastAsia="es-CO"/>
        </w:rPr>
        <w:t xml:space="preserve"> 73.11 </w:t>
      </w:r>
      <w:r>
        <w:rPr>
          <w:rFonts w:cs="Arial"/>
          <w:lang w:eastAsia="es-CO"/>
        </w:rPr>
        <w:t xml:space="preserve">del artículo 73 </w:t>
      </w:r>
      <w:r w:rsidRPr="0009453D">
        <w:rPr>
          <w:rFonts w:cs="Arial"/>
          <w:lang w:eastAsia="es-CO"/>
        </w:rPr>
        <w:t xml:space="preserve">de la Ley 142 de 1994 y </w:t>
      </w:r>
      <w:r>
        <w:rPr>
          <w:rFonts w:cs="Arial"/>
          <w:lang w:eastAsia="es-CO"/>
        </w:rPr>
        <w:t xml:space="preserve">el artículo </w:t>
      </w:r>
      <w:r w:rsidRPr="0009453D">
        <w:rPr>
          <w:rFonts w:cs="Arial"/>
          <w:lang w:eastAsia="es-CO"/>
        </w:rPr>
        <w:t>20 de la Ley 143 de 1994</w:t>
      </w:r>
      <w:r w:rsidR="005E52B3">
        <w:rPr>
          <w:rFonts w:cs="Arial"/>
          <w:lang w:eastAsia="es-CO"/>
        </w:rPr>
        <w:t>,</w:t>
      </w:r>
      <w:r w:rsidRPr="0009453D">
        <w:rPr>
          <w:rFonts w:cs="Arial"/>
          <w:lang w:eastAsia="es-CO"/>
        </w:rPr>
        <w:t xml:space="preserve"> atribuyeron a la Comisión de Regulación de Energía y Gas la facultad de establecer las fórmulas para la fijación de las tarifas del servicio público domiciliario de electricidad y definir la metodología para el cálculo de las tarifas aplicables a los usuarios regulados de este servicio</w:t>
      </w:r>
      <w:r>
        <w:rPr>
          <w:rFonts w:cs="Arial"/>
          <w:lang w:eastAsia="es-CO"/>
        </w:rPr>
        <w:t>.</w:t>
      </w:r>
    </w:p>
    <w:p w14:paraId="2F629FCB" w14:textId="3E856BE9" w:rsidR="0078724E" w:rsidRDefault="0078724E" w:rsidP="0078724E">
      <w:pPr>
        <w:spacing w:after="0"/>
        <w:rPr>
          <w:rFonts w:cs="Arial"/>
          <w:lang w:val="es-CO" w:eastAsia="es-CO"/>
        </w:rPr>
      </w:pPr>
      <w:r>
        <w:rPr>
          <w:rFonts w:cs="Arial"/>
          <w:lang w:val="es-CO" w:eastAsia="es-CO"/>
        </w:rPr>
        <w:t xml:space="preserve">Mediante </w:t>
      </w:r>
      <w:r w:rsidR="00426900">
        <w:rPr>
          <w:rFonts w:cs="Arial"/>
          <w:lang w:val="es-CO" w:eastAsia="es-CO"/>
        </w:rPr>
        <w:t xml:space="preserve">la </w:t>
      </w:r>
      <w:r>
        <w:rPr>
          <w:rFonts w:cs="Arial"/>
          <w:lang w:val="es-CO" w:eastAsia="es-CO"/>
        </w:rPr>
        <w:t>Resolución CREG 091 de 2007 se establecieron las metodologías generales para remunerar las actividades de generación, distribución y comercialización de energía eléctrica</w:t>
      </w:r>
      <w:r w:rsidR="00903EDC">
        <w:rPr>
          <w:rFonts w:cs="Arial"/>
          <w:lang w:val="es-CO" w:eastAsia="es-CO"/>
        </w:rPr>
        <w:t>,</w:t>
      </w:r>
      <w:r>
        <w:rPr>
          <w:rFonts w:cs="Arial"/>
          <w:lang w:val="es-CO" w:eastAsia="es-CO"/>
        </w:rPr>
        <w:t xml:space="preserve"> y la fórmula tarifaria general para determinar el costo unitario de prestación del servicio público domiciliario de energía eléctrica en Zonas No Interconectadas del territorio nacional.</w:t>
      </w:r>
    </w:p>
    <w:p w14:paraId="2EC3DE6E" w14:textId="6E258811" w:rsidR="00CC66E1" w:rsidRDefault="00426900" w:rsidP="00413688">
      <w:pPr>
        <w:spacing w:after="0"/>
        <w:rPr>
          <w:rFonts w:cs="Arial"/>
          <w:lang w:val="es-CO" w:eastAsia="es-CO"/>
        </w:rPr>
      </w:pPr>
      <w:r>
        <w:rPr>
          <w:rFonts w:cs="Arial"/>
          <w:lang w:val="es-CO" w:eastAsia="es-CO"/>
        </w:rPr>
        <w:t>Con l</w:t>
      </w:r>
      <w:r w:rsidR="001A3C86">
        <w:rPr>
          <w:rFonts w:cs="Arial"/>
          <w:lang w:val="es-CO" w:eastAsia="es-CO"/>
        </w:rPr>
        <w:t>a</w:t>
      </w:r>
      <w:r w:rsidR="00F03F76">
        <w:rPr>
          <w:rFonts w:cs="Arial"/>
          <w:lang w:val="es-CO" w:eastAsia="es-CO"/>
        </w:rPr>
        <w:t xml:space="preserve"> R</w:t>
      </w:r>
      <w:r w:rsidR="001A3C86">
        <w:rPr>
          <w:rFonts w:cs="Arial"/>
          <w:lang w:val="es-CO" w:eastAsia="es-CO"/>
        </w:rPr>
        <w:t xml:space="preserve">esolución CREG 097 de 2008 </w:t>
      </w:r>
      <w:r w:rsidR="0050396E" w:rsidRPr="00015982">
        <w:rPr>
          <w:rFonts w:cs="Arial"/>
        </w:rPr>
        <w:t>se apr</w:t>
      </w:r>
      <w:r w:rsidR="0050396E">
        <w:rPr>
          <w:rFonts w:cs="Arial"/>
        </w:rPr>
        <w:t>o</w:t>
      </w:r>
      <w:r w:rsidR="0050396E" w:rsidRPr="00015982">
        <w:rPr>
          <w:rFonts w:cs="Arial"/>
        </w:rPr>
        <w:t>ba</w:t>
      </w:r>
      <w:r w:rsidR="0050396E">
        <w:rPr>
          <w:rFonts w:cs="Arial"/>
        </w:rPr>
        <w:t>ro</w:t>
      </w:r>
      <w:r w:rsidR="0050396E" w:rsidRPr="00015982">
        <w:rPr>
          <w:rFonts w:cs="Arial"/>
        </w:rPr>
        <w:t xml:space="preserve">n los principios generales y la metodología para </w:t>
      </w:r>
      <w:r w:rsidR="0050396E">
        <w:rPr>
          <w:rFonts w:cs="Arial"/>
        </w:rPr>
        <w:t>la remuneración de la actividad de</w:t>
      </w:r>
      <w:r>
        <w:rPr>
          <w:rFonts w:cs="Arial"/>
        </w:rPr>
        <w:t xml:space="preserve"> di</w:t>
      </w:r>
      <w:r w:rsidR="0050396E">
        <w:rPr>
          <w:rFonts w:cs="Arial"/>
        </w:rPr>
        <w:t xml:space="preserve">stribución </w:t>
      </w:r>
      <w:r w:rsidR="00A85C82">
        <w:rPr>
          <w:rFonts w:cs="Arial"/>
        </w:rPr>
        <w:t xml:space="preserve">de energía eléctrica que prestan los operadores de red, OR, </w:t>
      </w:r>
      <w:r w:rsidR="0050396E">
        <w:rPr>
          <w:rFonts w:cs="Arial"/>
        </w:rPr>
        <w:t xml:space="preserve">en el </w:t>
      </w:r>
      <w:r w:rsidR="00F0347D">
        <w:rPr>
          <w:rFonts w:cs="Arial"/>
        </w:rPr>
        <w:t>S</w:t>
      </w:r>
      <w:r w:rsidR="0050396E">
        <w:rPr>
          <w:rFonts w:cs="Arial"/>
        </w:rPr>
        <w:t xml:space="preserve">istema </w:t>
      </w:r>
      <w:r w:rsidR="00F0347D">
        <w:rPr>
          <w:rFonts w:cs="Arial"/>
        </w:rPr>
        <w:t>I</w:t>
      </w:r>
      <w:r w:rsidR="0050396E">
        <w:rPr>
          <w:rFonts w:cs="Arial"/>
        </w:rPr>
        <w:t xml:space="preserve">nterconectado </w:t>
      </w:r>
      <w:r w:rsidR="00F0347D">
        <w:rPr>
          <w:rFonts w:cs="Arial"/>
        </w:rPr>
        <w:lastRenderedPageBreak/>
        <w:t>N</w:t>
      </w:r>
      <w:r w:rsidR="0050396E">
        <w:rPr>
          <w:rFonts w:cs="Arial"/>
        </w:rPr>
        <w:t>acional, SIN.</w:t>
      </w:r>
      <w:r w:rsidR="00A85C82">
        <w:rPr>
          <w:rFonts w:cs="Arial"/>
        </w:rPr>
        <w:t xml:space="preserve"> </w:t>
      </w:r>
      <w:r w:rsidR="00413688">
        <w:rPr>
          <w:rFonts w:cs="Arial"/>
        </w:rPr>
        <w:t xml:space="preserve">Esta resolución se </w:t>
      </w:r>
      <w:r w:rsidR="003A749D">
        <w:rPr>
          <w:rFonts w:cs="Arial"/>
          <w:lang w:val="es-CO" w:eastAsia="es-CO"/>
        </w:rPr>
        <w:t>compl</w:t>
      </w:r>
      <w:r w:rsidR="00CC66E1">
        <w:rPr>
          <w:rFonts w:cs="Arial"/>
          <w:lang w:val="es-CO" w:eastAsia="es-CO"/>
        </w:rPr>
        <w:t>e</w:t>
      </w:r>
      <w:r w:rsidR="003A749D">
        <w:rPr>
          <w:rFonts w:cs="Arial"/>
          <w:lang w:val="es-CO" w:eastAsia="es-CO"/>
        </w:rPr>
        <w:t xml:space="preserve">mentó </w:t>
      </w:r>
      <w:r w:rsidR="00413688">
        <w:rPr>
          <w:rFonts w:cs="Arial"/>
          <w:lang w:val="es-CO" w:eastAsia="es-CO"/>
        </w:rPr>
        <w:t>con</w:t>
      </w:r>
      <w:r w:rsidR="003A749D">
        <w:rPr>
          <w:rFonts w:cs="Arial"/>
          <w:lang w:val="es-CO" w:eastAsia="es-CO"/>
        </w:rPr>
        <w:t xml:space="preserve"> la Resolución CREG </w:t>
      </w:r>
      <w:r w:rsidR="006D2ADC">
        <w:rPr>
          <w:rFonts w:cs="Arial"/>
          <w:lang w:val="es-CO" w:eastAsia="es-CO"/>
        </w:rPr>
        <w:t>15</w:t>
      </w:r>
      <w:r w:rsidR="003A749D">
        <w:rPr>
          <w:rFonts w:cs="Arial"/>
          <w:lang w:val="es-CO" w:eastAsia="es-CO"/>
        </w:rPr>
        <w:t>7 de 20</w:t>
      </w:r>
      <w:r w:rsidR="006D2ADC">
        <w:rPr>
          <w:rFonts w:cs="Arial"/>
          <w:lang w:val="es-CO" w:eastAsia="es-CO"/>
        </w:rPr>
        <w:t>09</w:t>
      </w:r>
      <w:r w:rsidR="003A749D">
        <w:rPr>
          <w:rFonts w:cs="Arial"/>
          <w:lang w:val="es-CO" w:eastAsia="es-CO"/>
        </w:rPr>
        <w:t xml:space="preserve">, </w:t>
      </w:r>
      <w:r w:rsidR="000132EF">
        <w:rPr>
          <w:rFonts w:cs="Arial"/>
          <w:lang w:val="es-CO" w:eastAsia="es-CO"/>
        </w:rPr>
        <w:t xml:space="preserve">con el propósito de que las </w:t>
      </w:r>
      <w:r w:rsidR="0000022D">
        <w:rPr>
          <w:rFonts w:cs="Arial"/>
          <w:lang w:val="es-CO" w:eastAsia="es-CO"/>
        </w:rPr>
        <w:t>emp</w:t>
      </w:r>
      <w:r w:rsidR="000132EF">
        <w:rPr>
          <w:rFonts w:cs="Arial"/>
          <w:lang w:val="es-CO" w:eastAsia="es-CO"/>
        </w:rPr>
        <w:t>resas de reciente vinculación al SIN pudi</w:t>
      </w:r>
      <w:r w:rsidR="0000022D">
        <w:rPr>
          <w:rFonts w:cs="Arial"/>
          <w:lang w:val="es-CO" w:eastAsia="es-CO"/>
        </w:rPr>
        <w:t>e</w:t>
      </w:r>
      <w:r w:rsidR="000132EF">
        <w:rPr>
          <w:rFonts w:cs="Arial"/>
          <w:lang w:val="es-CO" w:eastAsia="es-CO"/>
        </w:rPr>
        <w:t>ran solicitar cargos de distribu</w:t>
      </w:r>
      <w:r w:rsidR="0000022D">
        <w:rPr>
          <w:rFonts w:cs="Arial"/>
          <w:lang w:val="es-CO" w:eastAsia="es-CO"/>
        </w:rPr>
        <w:t>ció</w:t>
      </w:r>
      <w:r w:rsidR="000132EF">
        <w:rPr>
          <w:rFonts w:cs="Arial"/>
          <w:lang w:val="es-CO" w:eastAsia="es-CO"/>
        </w:rPr>
        <w:t xml:space="preserve">n de acuerdo con </w:t>
      </w:r>
      <w:r w:rsidR="00CC66E1">
        <w:rPr>
          <w:rFonts w:cs="Arial"/>
          <w:lang w:val="es-CO" w:eastAsia="es-CO"/>
        </w:rPr>
        <w:t>la Resolución CREG 097 de 20</w:t>
      </w:r>
      <w:r w:rsidR="008B0C81">
        <w:rPr>
          <w:rFonts w:cs="Arial"/>
          <w:lang w:val="es-CO" w:eastAsia="es-CO"/>
        </w:rPr>
        <w:t>0</w:t>
      </w:r>
      <w:r w:rsidR="00CC66E1">
        <w:rPr>
          <w:rFonts w:cs="Arial"/>
          <w:lang w:val="es-CO" w:eastAsia="es-CO"/>
        </w:rPr>
        <w:t>8</w:t>
      </w:r>
      <w:r w:rsidR="001A3C86">
        <w:rPr>
          <w:rFonts w:cs="Arial"/>
          <w:lang w:val="es-CO" w:eastAsia="es-CO"/>
        </w:rPr>
        <w:t>.</w:t>
      </w:r>
    </w:p>
    <w:p w14:paraId="7598F2EE" w14:textId="6CDC12AD" w:rsidR="0078724E" w:rsidRDefault="0078724E" w:rsidP="0078724E">
      <w:pPr>
        <w:spacing w:after="0"/>
        <w:rPr>
          <w:rFonts w:cs="Arial"/>
          <w:lang w:val="es-CO" w:eastAsia="es-CO"/>
        </w:rPr>
      </w:pPr>
      <w:r>
        <w:rPr>
          <w:rFonts w:cs="Arial"/>
          <w:lang w:val="es-CO" w:eastAsia="es-CO"/>
        </w:rPr>
        <w:t xml:space="preserve">A través de la Resolución CREG 180 de 2014 se establecieron los criterios generales para determinar la remuneración de la actividad de comercialización de energía eléctrica a usuarios regulados en el </w:t>
      </w:r>
      <w:r w:rsidR="00F0347D">
        <w:rPr>
          <w:rFonts w:cs="Arial"/>
          <w:lang w:val="es-CO" w:eastAsia="es-CO"/>
        </w:rPr>
        <w:t>SIN</w:t>
      </w:r>
      <w:r>
        <w:rPr>
          <w:rFonts w:cs="Arial"/>
          <w:lang w:val="es-CO" w:eastAsia="es-CO"/>
        </w:rPr>
        <w:t>.</w:t>
      </w:r>
    </w:p>
    <w:p w14:paraId="07AC798B" w14:textId="5456CC9B" w:rsidR="0078724E" w:rsidRDefault="00CE1182" w:rsidP="0078724E">
      <w:pPr>
        <w:spacing w:after="0"/>
        <w:rPr>
          <w:rFonts w:cs="Arial"/>
          <w:lang w:val="es-CO" w:eastAsia="es-CO"/>
        </w:rPr>
      </w:pPr>
      <w:r>
        <w:rPr>
          <w:rFonts w:cs="Arial"/>
          <w:lang w:val="es-CO" w:eastAsia="es-CO"/>
        </w:rPr>
        <w:t>Co</w:t>
      </w:r>
      <w:r w:rsidR="0078724E">
        <w:rPr>
          <w:rFonts w:cs="Arial"/>
          <w:lang w:val="es-CO" w:eastAsia="es-CO"/>
        </w:rPr>
        <w:t xml:space="preserve">n la Resolución CREG 015 de 2018 se </w:t>
      </w:r>
      <w:r w:rsidR="00180A6E">
        <w:rPr>
          <w:rFonts w:cs="Arial"/>
          <w:lang w:val="es-CO" w:eastAsia="es-CO"/>
        </w:rPr>
        <w:t>actualiz</w:t>
      </w:r>
      <w:r w:rsidR="0078724E">
        <w:rPr>
          <w:rFonts w:cs="Arial"/>
          <w:lang w:val="es-CO" w:eastAsia="es-CO"/>
        </w:rPr>
        <w:t xml:space="preserve">ó la metodología para la remuneración de la actividad de distribución de energía eléctrica en el </w:t>
      </w:r>
      <w:r w:rsidR="00180A6E">
        <w:rPr>
          <w:rFonts w:cs="Arial"/>
          <w:lang w:val="es-CO" w:eastAsia="es-CO"/>
        </w:rPr>
        <w:t>SIN</w:t>
      </w:r>
      <w:r w:rsidR="00582E5D">
        <w:rPr>
          <w:rFonts w:cs="Arial"/>
          <w:lang w:val="es-CO" w:eastAsia="es-CO"/>
        </w:rPr>
        <w:t>,</w:t>
      </w:r>
      <w:r>
        <w:rPr>
          <w:rFonts w:cs="Arial"/>
          <w:lang w:val="es-CO" w:eastAsia="es-CO"/>
        </w:rPr>
        <w:t xml:space="preserve"> y se sustituyó la Resolución CREG 097 de 2008</w:t>
      </w:r>
      <w:r w:rsidR="0078724E">
        <w:rPr>
          <w:rFonts w:cs="Arial"/>
          <w:lang w:val="es-CO" w:eastAsia="es-CO"/>
        </w:rPr>
        <w:t>.</w:t>
      </w:r>
    </w:p>
    <w:p w14:paraId="7EBF7E51" w14:textId="6E372890" w:rsidR="0078724E" w:rsidRDefault="0078724E" w:rsidP="0078724E">
      <w:pPr>
        <w:spacing w:after="0"/>
        <w:rPr>
          <w:rFonts w:cs="Arial"/>
          <w:i/>
          <w:iCs/>
          <w:lang w:val="es-CO" w:eastAsia="es-CO"/>
        </w:rPr>
      </w:pPr>
      <w:r>
        <w:rPr>
          <w:rFonts w:cs="Arial"/>
          <w:lang w:val="es-CO" w:eastAsia="es-CO"/>
        </w:rPr>
        <w:t>El artículo 44 de la Resolución CREG 091 de 2007 señala un período de transición cuando se realice interconexión al SIN</w:t>
      </w:r>
      <w:r w:rsidR="00903EDC">
        <w:rPr>
          <w:rFonts w:cs="Arial"/>
          <w:lang w:val="es-CO" w:eastAsia="es-CO"/>
        </w:rPr>
        <w:t>,</w:t>
      </w:r>
      <w:r>
        <w:rPr>
          <w:rFonts w:cs="Arial"/>
          <w:lang w:val="es-CO" w:eastAsia="es-CO"/>
        </w:rPr>
        <w:t xml:space="preserve"> y dispone que </w:t>
      </w:r>
      <w:r w:rsidRPr="000D5CB3">
        <w:rPr>
          <w:rFonts w:cs="Arial"/>
          <w:i/>
          <w:iCs/>
          <w:lang w:val="es-CO" w:eastAsia="es-CO"/>
        </w:rPr>
        <w:t>el prestador del servicio de energía eléctrica en una Zona No Interconectada, cuyo sistema de distribución se integre físicamente al Sistema Interconectado Nacional, tendrá dos opciones para la prestación del servicio: 1) Entrar a formar parte del Sistema de Distribución del Operador de Red al que se conectó (…) 2) Conformar un mercado de comercialización independiente (…)</w:t>
      </w:r>
    </w:p>
    <w:p w14:paraId="135DEBCE" w14:textId="70A305E5" w:rsidR="0078724E" w:rsidRDefault="0078724E" w:rsidP="0078724E">
      <w:pPr>
        <w:spacing w:after="0"/>
        <w:rPr>
          <w:rFonts w:cs="Arial"/>
          <w:lang w:val="es-CO" w:eastAsia="es-CO"/>
        </w:rPr>
      </w:pPr>
      <w:r>
        <w:rPr>
          <w:rFonts w:cs="Arial"/>
          <w:lang w:val="es-CO" w:eastAsia="es-CO"/>
        </w:rPr>
        <w:t>Con fundamento en lo anterior, los prestadores del servicio de las Zonas No Interconectadas</w:t>
      </w:r>
      <w:r w:rsidR="00B0162E">
        <w:rPr>
          <w:rFonts w:cs="Arial"/>
          <w:lang w:val="es-CO" w:eastAsia="es-CO"/>
        </w:rPr>
        <w:t>, ZNI,</w:t>
      </w:r>
      <w:r>
        <w:rPr>
          <w:rFonts w:cs="Arial"/>
          <w:lang w:val="es-CO" w:eastAsia="es-CO"/>
        </w:rPr>
        <w:t xml:space="preserve"> que </w:t>
      </w:r>
      <w:r w:rsidR="00903EDC">
        <w:rPr>
          <w:rFonts w:cs="Arial"/>
          <w:lang w:val="es-CO" w:eastAsia="es-CO"/>
        </w:rPr>
        <w:t xml:space="preserve">prestan el servicio en mercados que se están conectando </w:t>
      </w:r>
      <w:r>
        <w:rPr>
          <w:rFonts w:cs="Arial"/>
          <w:lang w:val="es-CO" w:eastAsia="es-CO"/>
        </w:rPr>
        <w:t xml:space="preserve">al </w:t>
      </w:r>
      <w:r w:rsidR="005A4B2D">
        <w:rPr>
          <w:rFonts w:cs="Arial"/>
          <w:lang w:val="es-CO" w:eastAsia="es-CO"/>
        </w:rPr>
        <w:t>SIN</w:t>
      </w:r>
      <w:r w:rsidR="006C06F2">
        <w:rPr>
          <w:rFonts w:cs="Arial"/>
          <w:lang w:val="es-CO" w:eastAsia="es-CO"/>
        </w:rPr>
        <w:t>,</w:t>
      </w:r>
      <w:r w:rsidR="005A4B2D">
        <w:rPr>
          <w:rFonts w:cs="Arial"/>
          <w:lang w:val="es-CO" w:eastAsia="es-CO"/>
        </w:rPr>
        <w:t xml:space="preserve"> </w:t>
      </w:r>
      <w:r>
        <w:rPr>
          <w:rFonts w:cs="Arial"/>
          <w:lang w:val="es-CO" w:eastAsia="es-CO"/>
        </w:rPr>
        <w:t>presentaron solicitudes de aprobación de cargos</w:t>
      </w:r>
      <w:r w:rsidR="00A31582">
        <w:rPr>
          <w:rFonts w:cs="Arial"/>
          <w:lang w:val="es-CO" w:eastAsia="es-CO"/>
        </w:rPr>
        <w:t>,</w:t>
      </w:r>
      <w:r>
        <w:rPr>
          <w:rFonts w:cs="Arial"/>
          <w:lang w:val="es-CO" w:eastAsia="es-CO"/>
        </w:rPr>
        <w:t xml:space="preserve"> las cuales, una vez analizadas por la Comisión, permitieron identificar que la normatividad establecida en las resoluciones CREG 015 de 2018 y 180 de 2014 no les es aplicable en algunos aspectos, dado que existen variables cuyo cálculo depende de los valores históricos y detalles con características asociadas a prestadores del SIN que no son asimilables a prestadores del servicio en ZNI.</w:t>
      </w:r>
    </w:p>
    <w:p w14:paraId="152BF36A" w14:textId="189ECF5B" w:rsidR="0078724E" w:rsidRPr="00113234" w:rsidRDefault="0078724E" w:rsidP="0078724E">
      <w:pPr>
        <w:spacing w:after="0"/>
        <w:rPr>
          <w:rFonts w:cs="Arial"/>
          <w:lang w:val="es-CO" w:eastAsia="es-CO"/>
        </w:rPr>
      </w:pPr>
      <w:bookmarkStart w:id="1" w:name="_Hlk110491536"/>
      <w:r>
        <w:rPr>
          <w:rFonts w:cs="Arial"/>
          <w:lang w:val="es-CO" w:eastAsia="es-CO"/>
        </w:rPr>
        <w:t>Mientras se defin</w:t>
      </w:r>
      <w:r w:rsidR="00D0235E">
        <w:rPr>
          <w:rFonts w:cs="Arial"/>
          <w:lang w:val="es-CO" w:eastAsia="es-CO"/>
        </w:rPr>
        <w:t>ía</w:t>
      </w:r>
      <w:r>
        <w:rPr>
          <w:rFonts w:cs="Arial"/>
          <w:lang w:val="es-CO" w:eastAsia="es-CO"/>
        </w:rPr>
        <w:t xml:space="preserve"> </w:t>
      </w:r>
      <w:r w:rsidR="00D0235E">
        <w:rPr>
          <w:rFonts w:cs="Arial"/>
          <w:lang w:val="es-CO" w:eastAsia="es-CO"/>
        </w:rPr>
        <w:t>l</w:t>
      </w:r>
      <w:r>
        <w:rPr>
          <w:rFonts w:cs="Arial"/>
          <w:lang w:val="es-CO" w:eastAsia="es-CO"/>
        </w:rPr>
        <w:t xml:space="preserve">a regulación complementaria para el cálculo de los ingresos de distribución y los cargos de comercialización para las empresas en esta transición, y con el propósito de </w:t>
      </w:r>
      <w:r w:rsidR="00D91F0A">
        <w:rPr>
          <w:rFonts w:cs="Arial"/>
          <w:lang w:val="es-CO" w:eastAsia="es-CO"/>
        </w:rPr>
        <w:t>mantener</w:t>
      </w:r>
      <w:r>
        <w:rPr>
          <w:rFonts w:cs="Arial"/>
          <w:lang w:val="es-CO" w:eastAsia="es-CO"/>
        </w:rPr>
        <w:t xml:space="preserve"> la prestación del servicio, se expidió la Resolución CREG 033 de 2021</w:t>
      </w:r>
      <w:r w:rsidR="00903EDC">
        <w:rPr>
          <w:rFonts w:cs="Arial"/>
          <w:lang w:val="es-CO" w:eastAsia="es-CO"/>
        </w:rPr>
        <w:t>,</w:t>
      </w:r>
      <w:r>
        <w:rPr>
          <w:rFonts w:cs="Arial"/>
          <w:lang w:val="es-CO" w:eastAsia="es-CO"/>
        </w:rPr>
        <w:t xml:space="preserve"> </w:t>
      </w:r>
      <w:r w:rsidR="001378BC">
        <w:rPr>
          <w:rFonts w:cs="Arial"/>
          <w:lang w:val="es-CO" w:eastAsia="es-CO"/>
        </w:rPr>
        <w:t>con el</w:t>
      </w:r>
      <w:r>
        <w:rPr>
          <w:rFonts w:cs="Arial"/>
          <w:lang w:val="es-CO" w:eastAsia="es-CO"/>
        </w:rPr>
        <w:t xml:space="preserve"> fin de definir una regla transitoria para la aplicación de lo previsto en el artículo 44 de la Resolución CREG 091 de 2007.</w:t>
      </w:r>
    </w:p>
    <w:p w14:paraId="5225D81D" w14:textId="034239A3" w:rsidR="0078724E" w:rsidRDefault="00780A26" w:rsidP="0078724E">
      <w:pPr>
        <w:spacing w:after="0"/>
        <w:rPr>
          <w:rFonts w:cs="Arial"/>
          <w:lang w:val="es-CO" w:eastAsia="es-CO"/>
        </w:rPr>
      </w:pPr>
      <w:r>
        <w:rPr>
          <w:rFonts w:cs="Arial"/>
          <w:lang w:val="es-CO" w:eastAsia="es-CO"/>
        </w:rPr>
        <w:t xml:space="preserve">Mediante la Resolución CREG 701 013 de 2022 se </w:t>
      </w:r>
      <w:r w:rsidR="00861317">
        <w:rPr>
          <w:rFonts w:cs="Arial"/>
          <w:lang w:val="es-CO" w:eastAsia="es-CO"/>
        </w:rPr>
        <w:t>publicó</w:t>
      </w:r>
      <w:r>
        <w:rPr>
          <w:rFonts w:cs="Arial"/>
          <w:lang w:val="es-CO" w:eastAsia="es-CO"/>
        </w:rPr>
        <w:t xml:space="preserve"> para comentarios una </w:t>
      </w:r>
      <w:r w:rsidR="0078724E" w:rsidRPr="00FF7A9B">
        <w:rPr>
          <w:rFonts w:cs="Arial"/>
          <w:lang w:val="es-CO" w:eastAsia="es-CO"/>
        </w:rPr>
        <w:t>propuesta con los ajustes necesarios para complementar la regulación vigente y definir la información requerida para que los prestadores de</w:t>
      </w:r>
      <w:r w:rsidR="00B64332" w:rsidRPr="00FF7A9B">
        <w:rPr>
          <w:rFonts w:cs="Arial"/>
          <w:lang w:val="es-CO" w:eastAsia="es-CO"/>
        </w:rPr>
        <w:t>l</w:t>
      </w:r>
      <w:r w:rsidR="0078724E" w:rsidRPr="00FF7A9B">
        <w:rPr>
          <w:rFonts w:cs="Arial"/>
          <w:lang w:val="es-CO" w:eastAsia="es-CO"/>
        </w:rPr>
        <w:t xml:space="preserve"> servicio </w:t>
      </w:r>
      <w:r w:rsidR="00B64332" w:rsidRPr="00FF7A9B">
        <w:rPr>
          <w:rFonts w:cs="Arial"/>
          <w:lang w:val="es-CO" w:eastAsia="es-CO"/>
        </w:rPr>
        <w:t xml:space="preserve">de energía eléctrica en una </w:t>
      </w:r>
      <w:r w:rsidR="0078724E" w:rsidRPr="00FF7A9B">
        <w:rPr>
          <w:rFonts w:cs="Arial"/>
          <w:lang w:val="es-CO" w:eastAsia="es-CO"/>
        </w:rPr>
        <w:t>ZNI</w:t>
      </w:r>
      <w:r w:rsidR="00D3449E" w:rsidRPr="00FF7A9B">
        <w:rPr>
          <w:rFonts w:cs="Arial"/>
          <w:lang w:val="es-CO" w:eastAsia="es-CO"/>
        </w:rPr>
        <w:t>,</w:t>
      </w:r>
      <w:r w:rsidR="0078724E" w:rsidRPr="00FF7A9B">
        <w:rPr>
          <w:rFonts w:cs="Arial"/>
          <w:lang w:val="es-CO" w:eastAsia="es-CO"/>
        </w:rPr>
        <w:t xml:space="preserve"> </w:t>
      </w:r>
      <w:r w:rsidR="00582E5D">
        <w:rPr>
          <w:rFonts w:cs="Arial"/>
          <w:lang w:val="es-CO" w:eastAsia="es-CO"/>
        </w:rPr>
        <w:t xml:space="preserve">con mercados </w:t>
      </w:r>
      <w:r w:rsidR="0078724E" w:rsidRPr="00FF7A9B">
        <w:rPr>
          <w:rFonts w:cs="Arial"/>
          <w:lang w:val="es-CO" w:eastAsia="es-CO"/>
        </w:rPr>
        <w:t xml:space="preserve">que hacen su tránsito al SIN, </w:t>
      </w:r>
      <w:r w:rsidRPr="00FF7A9B">
        <w:rPr>
          <w:rFonts w:cs="Arial"/>
          <w:lang w:val="es-CO" w:eastAsia="es-CO"/>
        </w:rPr>
        <w:t>solicit</w:t>
      </w:r>
      <w:r>
        <w:rPr>
          <w:rFonts w:cs="Arial"/>
          <w:lang w:val="es-CO" w:eastAsia="es-CO"/>
        </w:rPr>
        <w:t>aran</w:t>
      </w:r>
      <w:r w:rsidRPr="00FF7A9B">
        <w:rPr>
          <w:rFonts w:cs="Arial"/>
          <w:lang w:val="es-CO" w:eastAsia="es-CO"/>
        </w:rPr>
        <w:t xml:space="preserve"> </w:t>
      </w:r>
      <w:r w:rsidR="00336317" w:rsidRPr="00FF7A9B">
        <w:rPr>
          <w:rFonts w:cs="Arial"/>
          <w:lang w:val="es-CO" w:eastAsia="es-CO"/>
        </w:rPr>
        <w:t>la</w:t>
      </w:r>
      <w:r w:rsidR="0078724E" w:rsidRPr="00FF7A9B">
        <w:rPr>
          <w:rFonts w:cs="Arial"/>
          <w:lang w:val="es-CO" w:eastAsia="es-CO"/>
        </w:rPr>
        <w:t xml:space="preserve"> aprobación de </w:t>
      </w:r>
      <w:r w:rsidR="00336317" w:rsidRPr="00FF7A9B">
        <w:rPr>
          <w:rFonts w:cs="Arial"/>
          <w:lang w:val="es-CO" w:eastAsia="es-CO"/>
        </w:rPr>
        <w:t xml:space="preserve">los </w:t>
      </w:r>
      <w:r w:rsidR="0078724E" w:rsidRPr="00FF7A9B">
        <w:rPr>
          <w:rFonts w:cs="Arial"/>
          <w:lang w:val="es-CO" w:eastAsia="es-CO"/>
        </w:rPr>
        <w:t xml:space="preserve">ingresos </w:t>
      </w:r>
      <w:r w:rsidR="004E5D33" w:rsidRPr="00FF7A9B">
        <w:rPr>
          <w:rFonts w:cs="Arial"/>
          <w:lang w:val="es-CO" w:eastAsia="es-CO"/>
        </w:rPr>
        <w:t>para</w:t>
      </w:r>
      <w:r w:rsidR="0078724E" w:rsidRPr="00FF7A9B">
        <w:rPr>
          <w:rFonts w:cs="Arial"/>
          <w:lang w:val="es-CO" w:eastAsia="es-CO"/>
        </w:rPr>
        <w:t xml:space="preserve"> la actividad de distribución de energía eléctrica</w:t>
      </w:r>
      <w:r w:rsidR="006C06F2">
        <w:rPr>
          <w:rFonts w:cs="Arial"/>
          <w:lang w:val="es-CO" w:eastAsia="es-CO"/>
        </w:rPr>
        <w:t>,</w:t>
      </w:r>
      <w:r w:rsidR="0078724E" w:rsidRPr="00FF7A9B">
        <w:rPr>
          <w:rFonts w:cs="Arial"/>
          <w:lang w:val="es-CO" w:eastAsia="es-CO"/>
        </w:rPr>
        <w:t xml:space="preserve"> y </w:t>
      </w:r>
      <w:r w:rsidRPr="00FF7A9B">
        <w:rPr>
          <w:rFonts w:cs="Arial"/>
          <w:lang w:val="es-CO" w:eastAsia="es-CO"/>
        </w:rPr>
        <w:t>c</w:t>
      </w:r>
      <w:r>
        <w:rPr>
          <w:rFonts w:cs="Arial"/>
          <w:lang w:val="es-CO" w:eastAsia="es-CO"/>
        </w:rPr>
        <w:t>ontara</w:t>
      </w:r>
      <w:r w:rsidRPr="00FF7A9B">
        <w:rPr>
          <w:rFonts w:cs="Arial"/>
          <w:lang w:val="es-CO" w:eastAsia="es-CO"/>
        </w:rPr>
        <w:t xml:space="preserve">n </w:t>
      </w:r>
      <w:r w:rsidR="00662551" w:rsidRPr="00FF7A9B">
        <w:rPr>
          <w:rFonts w:cs="Arial"/>
          <w:lang w:val="es-CO" w:eastAsia="es-CO"/>
        </w:rPr>
        <w:t>con un</w:t>
      </w:r>
      <w:r w:rsidR="0078724E" w:rsidRPr="00FF7A9B">
        <w:rPr>
          <w:rFonts w:cs="Arial"/>
          <w:lang w:val="es-CO" w:eastAsia="es-CO"/>
        </w:rPr>
        <w:t xml:space="preserve"> costo base de comercialización</w:t>
      </w:r>
      <w:r w:rsidR="00336317" w:rsidRPr="00FF7A9B">
        <w:rPr>
          <w:rFonts w:cs="Arial"/>
          <w:lang w:val="es-CO" w:eastAsia="es-CO"/>
        </w:rPr>
        <w:t xml:space="preserve"> para l</w:t>
      </w:r>
      <w:r w:rsidR="00582E5D">
        <w:rPr>
          <w:rFonts w:cs="Arial"/>
          <w:lang w:val="es-CO" w:eastAsia="es-CO"/>
        </w:rPr>
        <w:t>os</w:t>
      </w:r>
      <w:r w:rsidR="00336317" w:rsidRPr="00FF7A9B">
        <w:rPr>
          <w:rFonts w:cs="Arial"/>
          <w:lang w:val="es-CO" w:eastAsia="es-CO"/>
        </w:rPr>
        <w:t xml:space="preserve"> </w:t>
      </w:r>
      <w:r w:rsidR="00884DC5" w:rsidRPr="00FF7A9B">
        <w:rPr>
          <w:rFonts w:cs="Arial"/>
          <w:lang w:val="es-CO" w:eastAsia="es-CO"/>
        </w:rPr>
        <w:t>nuevo</w:t>
      </w:r>
      <w:r w:rsidR="00582E5D">
        <w:rPr>
          <w:rFonts w:cs="Arial"/>
          <w:lang w:val="es-CO" w:eastAsia="es-CO"/>
        </w:rPr>
        <w:t>s</w:t>
      </w:r>
      <w:r w:rsidR="00884DC5" w:rsidRPr="00FF7A9B">
        <w:rPr>
          <w:rFonts w:cs="Arial"/>
          <w:lang w:val="es-CO" w:eastAsia="es-CO"/>
        </w:rPr>
        <w:t xml:space="preserve"> </w:t>
      </w:r>
      <w:r w:rsidR="00336317" w:rsidRPr="00FF7A9B">
        <w:rPr>
          <w:rFonts w:cs="Arial"/>
          <w:lang w:val="es-CO" w:eastAsia="es-CO"/>
        </w:rPr>
        <w:t>mercado</w:t>
      </w:r>
      <w:r w:rsidR="00582E5D">
        <w:rPr>
          <w:rFonts w:cs="Arial"/>
          <w:lang w:val="es-CO" w:eastAsia="es-CO"/>
        </w:rPr>
        <w:t>s</w:t>
      </w:r>
      <w:r w:rsidR="00336317" w:rsidRPr="00FF7A9B">
        <w:rPr>
          <w:rFonts w:cs="Arial"/>
          <w:lang w:val="es-CO" w:eastAsia="es-CO"/>
        </w:rPr>
        <w:t xml:space="preserve"> de comercialización</w:t>
      </w:r>
      <w:bookmarkEnd w:id="1"/>
      <w:r w:rsidR="0078724E" w:rsidRPr="00FF7A9B">
        <w:rPr>
          <w:rFonts w:cs="Arial"/>
          <w:lang w:val="es-CO" w:eastAsia="es-CO"/>
        </w:rPr>
        <w:t>.</w:t>
      </w:r>
    </w:p>
    <w:p w14:paraId="76D47BCA" w14:textId="47AE903F" w:rsidR="00B57AA7" w:rsidRDefault="00780A26" w:rsidP="00B57AA7">
      <w:pPr>
        <w:spacing w:after="0"/>
        <w:rPr>
          <w:rFonts w:cs="Arial"/>
          <w:lang w:val="es-CO" w:eastAsia="es-CO"/>
        </w:rPr>
      </w:pPr>
      <w:r>
        <w:rPr>
          <w:rFonts w:cs="Arial"/>
          <w:lang w:val="es-CO" w:eastAsia="es-CO"/>
        </w:rPr>
        <w:t xml:space="preserve">A esta propuesta se recibieron comentarios </w:t>
      </w:r>
      <w:r w:rsidR="00E70532">
        <w:rPr>
          <w:rFonts w:cs="Arial"/>
          <w:lang w:val="es-CO" w:eastAsia="es-CO"/>
        </w:rPr>
        <w:t>con</w:t>
      </w:r>
      <w:r>
        <w:rPr>
          <w:rFonts w:cs="Arial"/>
          <w:lang w:val="es-CO" w:eastAsia="es-CO"/>
        </w:rPr>
        <w:t xml:space="preserve"> las siguientes comunicaciones:</w:t>
      </w:r>
      <w:r w:rsidR="00B57AA7">
        <w:rPr>
          <w:rFonts w:cs="Arial"/>
          <w:lang w:val="es-CO" w:eastAsia="es-CO"/>
        </w:rPr>
        <w:t xml:space="preserve"> </w:t>
      </w:r>
      <w:r w:rsidR="00B57AA7" w:rsidRPr="00B57AA7">
        <w:rPr>
          <w:rFonts w:cs="Arial"/>
          <w:lang w:val="es-CO" w:eastAsia="es-CO"/>
        </w:rPr>
        <w:t>ONAC</w:t>
      </w:r>
      <w:r w:rsidR="00B57AA7">
        <w:rPr>
          <w:rFonts w:cs="Arial"/>
          <w:lang w:val="es-CO" w:eastAsia="es-CO"/>
        </w:rPr>
        <w:t xml:space="preserve"> con radicado CREG </w:t>
      </w:r>
      <w:r w:rsidR="00B57AA7" w:rsidRPr="00B57AA7">
        <w:rPr>
          <w:rFonts w:cs="Arial"/>
          <w:lang w:val="es-CO" w:eastAsia="es-CO"/>
        </w:rPr>
        <w:t>E2022009573</w:t>
      </w:r>
      <w:r w:rsidR="00B57AA7">
        <w:rPr>
          <w:rFonts w:cs="Arial"/>
          <w:lang w:val="es-CO" w:eastAsia="es-CO"/>
        </w:rPr>
        <w:t xml:space="preserve">; </w:t>
      </w:r>
      <w:r w:rsidR="00B57AA7" w:rsidRPr="00B57AA7">
        <w:rPr>
          <w:rFonts w:cs="Arial"/>
          <w:lang w:val="es-CO" w:eastAsia="es-CO"/>
        </w:rPr>
        <w:t>DISPAC</w:t>
      </w:r>
      <w:r w:rsidR="00B57AA7">
        <w:rPr>
          <w:rFonts w:cs="Arial"/>
          <w:lang w:val="es-CO" w:eastAsia="es-CO"/>
        </w:rPr>
        <w:t xml:space="preserve">, </w:t>
      </w:r>
      <w:r w:rsidR="00B57AA7" w:rsidRPr="00B57AA7">
        <w:rPr>
          <w:rFonts w:cs="Arial"/>
          <w:lang w:val="es-CO" w:eastAsia="es-CO"/>
        </w:rPr>
        <w:t>E2022009576</w:t>
      </w:r>
      <w:r w:rsidR="00B57AA7">
        <w:rPr>
          <w:rFonts w:cs="Arial"/>
          <w:lang w:val="es-CO" w:eastAsia="es-CO"/>
        </w:rPr>
        <w:t xml:space="preserve">; </w:t>
      </w:r>
      <w:r w:rsidR="00B57AA7" w:rsidRPr="00B57AA7">
        <w:rPr>
          <w:rFonts w:cs="Arial"/>
          <w:lang w:val="es-CO" w:eastAsia="es-CO"/>
        </w:rPr>
        <w:t>SSPD</w:t>
      </w:r>
      <w:r w:rsidR="00B57AA7">
        <w:rPr>
          <w:rFonts w:cs="Arial"/>
          <w:lang w:val="es-CO" w:eastAsia="es-CO"/>
        </w:rPr>
        <w:t xml:space="preserve">, </w:t>
      </w:r>
      <w:r w:rsidR="00B57AA7" w:rsidRPr="00B57AA7">
        <w:rPr>
          <w:rFonts w:cs="Arial"/>
          <w:lang w:val="es-CO" w:eastAsia="es-CO"/>
        </w:rPr>
        <w:t>E2022009597</w:t>
      </w:r>
      <w:r w:rsidR="00B57AA7">
        <w:rPr>
          <w:rFonts w:cs="Arial"/>
          <w:lang w:val="es-CO" w:eastAsia="es-CO"/>
        </w:rPr>
        <w:t xml:space="preserve">; </w:t>
      </w:r>
      <w:r w:rsidR="00B57AA7" w:rsidRPr="00B57AA7">
        <w:rPr>
          <w:rFonts w:cs="Arial"/>
          <w:lang w:val="es-CO" w:eastAsia="es-CO"/>
        </w:rPr>
        <w:t>XM</w:t>
      </w:r>
      <w:r w:rsidR="00B57AA7">
        <w:rPr>
          <w:rFonts w:cs="Arial"/>
          <w:lang w:val="es-CO" w:eastAsia="es-CO"/>
        </w:rPr>
        <w:t xml:space="preserve">, </w:t>
      </w:r>
      <w:r w:rsidR="00B57AA7" w:rsidRPr="00B57AA7">
        <w:rPr>
          <w:rFonts w:cs="Arial"/>
          <w:lang w:val="es-CO" w:eastAsia="es-CO"/>
        </w:rPr>
        <w:t>E2022009602</w:t>
      </w:r>
      <w:r w:rsidR="003D6152">
        <w:rPr>
          <w:rFonts w:cs="Arial"/>
          <w:lang w:val="es-CO" w:eastAsia="es-CO"/>
        </w:rPr>
        <w:t>;</w:t>
      </w:r>
      <w:r w:rsidR="00B57AA7">
        <w:rPr>
          <w:rFonts w:cs="Arial"/>
          <w:lang w:val="es-CO" w:eastAsia="es-CO"/>
        </w:rPr>
        <w:t xml:space="preserve"> y </w:t>
      </w:r>
      <w:proofErr w:type="spellStart"/>
      <w:r w:rsidR="00B57AA7" w:rsidRPr="00B57AA7">
        <w:rPr>
          <w:rFonts w:cs="Arial"/>
          <w:lang w:val="es-CO" w:eastAsia="es-CO"/>
        </w:rPr>
        <w:t>Cedenar</w:t>
      </w:r>
      <w:proofErr w:type="spellEnd"/>
      <w:r w:rsidR="00B57AA7">
        <w:rPr>
          <w:rFonts w:cs="Arial"/>
          <w:lang w:val="es-CO" w:eastAsia="es-CO"/>
        </w:rPr>
        <w:t xml:space="preserve">, </w:t>
      </w:r>
      <w:r w:rsidR="00B57AA7" w:rsidRPr="00B57AA7">
        <w:rPr>
          <w:rFonts w:cs="Arial"/>
          <w:lang w:val="es-CO" w:eastAsia="es-CO"/>
        </w:rPr>
        <w:t>E2022009616</w:t>
      </w:r>
    </w:p>
    <w:p w14:paraId="26350F09" w14:textId="19A2CD53" w:rsidR="00780A26" w:rsidRDefault="00780A26" w:rsidP="00780A26">
      <w:pPr>
        <w:spacing w:before="200" w:after="0"/>
        <w:rPr>
          <w:rFonts w:cs="Arial"/>
          <w:lang w:eastAsia="es-CO"/>
        </w:rPr>
      </w:pPr>
      <w:r>
        <w:rPr>
          <w:rFonts w:cs="Arial"/>
          <w:lang w:eastAsia="es-CO"/>
        </w:rPr>
        <w:t>El análisis y respuesta a los comentarios recibidos del proyecto de resolución, así como las consideraciones adicionales de la Comisión</w:t>
      </w:r>
      <w:r w:rsidR="003D6152">
        <w:rPr>
          <w:rFonts w:cs="Arial"/>
          <w:lang w:eastAsia="es-CO"/>
        </w:rPr>
        <w:t>,</w:t>
      </w:r>
      <w:r>
        <w:rPr>
          <w:rFonts w:cs="Arial"/>
          <w:lang w:eastAsia="es-CO"/>
        </w:rPr>
        <w:t xml:space="preserve"> se encuentran en el documento soporte de la presente resolución.</w:t>
      </w:r>
    </w:p>
    <w:p w14:paraId="5C8E9DDD" w14:textId="77777777" w:rsidR="00780A26" w:rsidRDefault="00780A26" w:rsidP="00780A26">
      <w:pPr>
        <w:spacing w:before="200" w:after="0"/>
        <w:rPr>
          <w:rFonts w:cs="Arial"/>
          <w:lang w:eastAsia="es-CO"/>
        </w:rPr>
      </w:pPr>
      <w:r w:rsidRPr="00956412">
        <w:rPr>
          <w:lang w:val="es-CO"/>
        </w:rPr>
        <w:lastRenderedPageBreak/>
        <w:t xml:space="preserve">Diligenciado el cuestionario de que trata el artículo </w:t>
      </w:r>
      <w:r w:rsidRPr="00956412">
        <w:rPr>
          <w:rFonts w:cs="Arial"/>
          <w:lang w:val="es-ES_tradnl"/>
        </w:rPr>
        <w:t xml:space="preserve">2.2.2.30.4 del Decreto 1074 de 2015, se encontró que el ajuste regulatorio </w:t>
      </w:r>
      <w:r>
        <w:rPr>
          <w:rFonts w:cs="Arial"/>
          <w:lang w:val="es-ES_tradnl"/>
        </w:rPr>
        <w:t xml:space="preserve">propuesto </w:t>
      </w:r>
      <w:r w:rsidRPr="00956412">
        <w:rPr>
          <w:lang w:val="es-CO"/>
        </w:rPr>
        <w:t>no tiene incidencia sobre la libre competencia, por lo cual no fue informado a la Superintendencia de Industria y Comercio, SIC.</w:t>
      </w:r>
    </w:p>
    <w:p w14:paraId="1EA40C2E" w14:textId="6D0FA24A" w:rsidR="00780A26" w:rsidRPr="004A1611" w:rsidRDefault="00780A26" w:rsidP="00780A26">
      <w:pPr>
        <w:spacing w:before="200" w:after="0"/>
        <w:rPr>
          <w:rFonts w:cs="Arial"/>
          <w:lang w:val="es-ES_tradnl"/>
        </w:rPr>
      </w:pPr>
      <w:r w:rsidRPr="00473C06">
        <w:rPr>
          <w:rFonts w:cs="Arial"/>
          <w:lang w:val="es-ES_tradnl"/>
        </w:rPr>
        <w:t xml:space="preserve">La Comisión de Regulación de Energía y Gas en su sesión </w:t>
      </w:r>
      <w:r w:rsidR="0075222B">
        <w:rPr>
          <w:rFonts w:cs="Arial"/>
          <w:lang w:val="es-ES_tradnl"/>
        </w:rPr>
        <w:t xml:space="preserve">1235 </w:t>
      </w:r>
      <w:r>
        <w:rPr>
          <w:rFonts w:cs="Arial"/>
          <w:lang w:val="es-ES_tradnl"/>
        </w:rPr>
        <w:t>del</w:t>
      </w:r>
      <w:r w:rsidR="0075222B">
        <w:rPr>
          <w:rFonts w:cs="Arial"/>
          <w:lang w:val="es-ES_tradnl"/>
        </w:rPr>
        <w:t xml:space="preserve"> 20</w:t>
      </w:r>
      <w:r>
        <w:rPr>
          <w:rFonts w:cs="Arial"/>
          <w:lang w:val="es-ES_tradnl"/>
        </w:rPr>
        <w:t xml:space="preserve"> </w:t>
      </w:r>
      <w:r w:rsidRPr="00473C06">
        <w:rPr>
          <w:rFonts w:cs="Arial"/>
          <w:lang w:val="es-ES_tradnl"/>
        </w:rPr>
        <w:t>de</w:t>
      </w:r>
      <w:r w:rsidR="0075222B">
        <w:rPr>
          <w:rFonts w:cs="Arial"/>
          <w:lang w:val="es-ES_tradnl"/>
        </w:rPr>
        <w:t xml:space="preserve"> enero</w:t>
      </w:r>
      <w:r w:rsidRPr="00473C06">
        <w:rPr>
          <w:rFonts w:cs="Arial"/>
          <w:lang w:val="es-ES_tradnl"/>
        </w:rPr>
        <w:t xml:space="preserve"> de 202</w:t>
      </w:r>
      <w:r w:rsidR="003D6152">
        <w:rPr>
          <w:rFonts w:cs="Arial"/>
          <w:lang w:val="es-ES_tradnl"/>
        </w:rPr>
        <w:t>3</w:t>
      </w:r>
      <w:r w:rsidR="003D6152" w:rsidRPr="00473C06">
        <w:rPr>
          <w:rFonts w:cs="Arial"/>
          <w:lang w:val="es-ES_tradnl"/>
        </w:rPr>
        <w:t xml:space="preserve"> </w:t>
      </w:r>
      <w:r w:rsidRPr="00473C06">
        <w:rPr>
          <w:rFonts w:cs="Arial"/>
          <w:lang w:val="es-ES_tradnl"/>
        </w:rPr>
        <w:t xml:space="preserve">acordó expedir la presente </w:t>
      </w:r>
      <w:r>
        <w:rPr>
          <w:rFonts w:cs="Arial"/>
          <w:lang w:val="es-ES_tradnl"/>
        </w:rPr>
        <w:t>r</w:t>
      </w:r>
      <w:r w:rsidRPr="00473C06">
        <w:rPr>
          <w:rFonts w:cs="Arial"/>
          <w:lang w:val="es-ES_tradnl"/>
        </w:rPr>
        <w:t>esolución.</w:t>
      </w:r>
    </w:p>
    <w:p w14:paraId="0FFCDFE2" w14:textId="4981EBF7" w:rsidR="003A0B61" w:rsidRPr="000B4378" w:rsidRDefault="003A0B61" w:rsidP="00A91809">
      <w:pPr>
        <w:keepNext/>
        <w:spacing w:before="480" w:after="0"/>
        <w:jc w:val="center"/>
        <w:rPr>
          <w:b/>
          <w:spacing w:val="60"/>
        </w:rPr>
      </w:pPr>
      <w:r w:rsidRPr="000B4378">
        <w:rPr>
          <w:b/>
          <w:spacing w:val="60"/>
        </w:rPr>
        <w:t>RESUELVE:</w:t>
      </w:r>
    </w:p>
    <w:p w14:paraId="755A534E" w14:textId="77777777" w:rsidR="0075222B" w:rsidRDefault="0075222B" w:rsidP="0075222B">
      <w:pPr>
        <w:pStyle w:val="Ttulo"/>
        <w:keepNext/>
        <w:numPr>
          <w:ilvl w:val="0"/>
          <w:numId w:val="9"/>
        </w:numPr>
        <w:spacing w:before="360" w:after="360"/>
        <w:ind w:left="0" w:right="-1134" w:firstLine="142"/>
        <w:jc w:val="center"/>
        <w:outlineLvl w:val="0"/>
      </w:pPr>
    </w:p>
    <w:p w14:paraId="77C46019" w14:textId="7747A8CC" w:rsidR="0078724E" w:rsidRDefault="0075222B" w:rsidP="0075222B">
      <w:pPr>
        <w:pStyle w:val="Ttulo"/>
        <w:keepNext/>
        <w:numPr>
          <w:ilvl w:val="0"/>
          <w:numId w:val="0"/>
        </w:numPr>
        <w:spacing w:before="360" w:after="360"/>
        <w:ind w:left="3540"/>
        <w:outlineLvl w:val="0"/>
      </w:pPr>
      <w:r>
        <w:t xml:space="preserve"> </w:t>
      </w:r>
      <w:r w:rsidR="006D3E7B" w:rsidRPr="00726B6C">
        <w:t>GENERALIDADES</w:t>
      </w:r>
    </w:p>
    <w:p w14:paraId="43A7897B" w14:textId="2CA6A651" w:rsidR="0078724E" w:rsidRPr="00DC4FBA" w:rsidRDefault="0078724E" w:rsidP="004A19E9">
      <w:pPr>
        <w:pStyle w:val="Artculo"/>
        <w:numPr>
          <w:ilvl w:val="0"/>
          <w:numId w:val="19"/>
        </w:numPr>
        <w:spacing w:before="360" w:after="0"/>
        <w:ind w:left="0"/>
        <w:outlineLvl w:val="1"/>
      </w:pPr>
      <w:r>
        <w:t>Ámbito de aplicación.</w:t>
      </w:r>
      <w:r w:rsidRPr="004A19E9">
        <w:t xml:space="preserve"> </w:t>
      </w:r>
      <w:r w:rsidRPr="00FD6E4E">
        <w:rPr>
          <w:b w:val="0"/>
          <w:bCs/>
        </w:rPr>
        <w:t xml:space="preserve">Esta resolución aplica a las empresas que prestan el servicio público de energía eléctrica en </w:t>
      </w:r>
      <w:r w:rsidR="00523B2E">
        <w:rPr>
          <w:b w:val="0"/>
          <w:bCs/>
        </w:rPr>
        <w:t xml:space="preserve">una </w:t>
      </w:r>
      <w:r w:rsidRPr="00FD6E4E">
        <w:rPr>
          <w:b w:val="0"/>
          <w:bCs/>
        </w:rPr>
        <w:t xml:space="preserve">Zona No Interconectada, ZNI, y </w:t>
      </w:r>
      <w:r w:rsidR="000B77DE">
        <w:rPr>
          <w:b w:val="0"/>
          <w:bCs/>
        </w:rPr>
        <w:t>se va</w:t>
      </w:r>
      <w:r w:rsidR="00CA38AB">
        <w:rPr>
          <w:b w:val="0"/>
          <w:bCs/>
        </w:rPr>
        <w:t>n</w:t>
      </w:r>
      <w:r w:rsidR="000B77DE">
        <w:rPr>
          <w:b w:val="0"/>
          <w:bCs/>
        </w:rPr>
        <w:t xml:space="preserve"> a </w:t>
      </w:r>
      <w:r w:rsidRPr="00FD6E4E">
        <w:rPr>
          <w:b w:val="0"/>
          <w:bCs/>
        </w:rPr>
        <w:t>convertir</w:t>
      </w:r>
      <w:r w:rsidR="000B77DE">
        <w:rPr>
          <w:b w:val="0"/>
          <w:bCs/>
        </w:rPr>
        <w:t xml:space="preserve"> </w:t>
      </w:r>
      <w:r w:rsidRPr="00FD6E4E">
        <w:rPr>
          <w:b w:val="0"/>
          <w:bCs/>
        </w:rPr>
        <w:t>en operadores de red, OR, del Sistema Interconectado Nacional, SIN</w:t>
      </w:r>
      <w:r w:rsidR="000B77DE">
        <w:rPr>
          <w:b w:val="0"/>
          <w:bCs/>
        </w:rPr>
        <w:t>, cuando conecte</w:t>
      </w:r>
      <w:r w:rsidR="00CA38AB">
        <w:rPr>
          <w:b w:val="0"/>
          <w:bCs/>
        </w:rPr>
        <w:t>n</w:t>
      </w:r>
      <w:r w:rsidR="000B77DE">
        <w:rPr>
          <w:b w:val="0"/>
          <w:bCs/>
        </w:rPr>
        <w:t xml:space="preserve"> al SIN el sistema de distribución del mercado de comercialización que atiende</w:t>
      </w:r>
      <w:r w:rsidR="00CA38AB">
        <w:rPr>
          <w:b w:val="0"/>
          <w:bCs/>
        </w:rPr>
        <w:t>n</w:t>
      </w:r>
      <w:r w:rsidR="000B77DE">
        <w:rPr>
          <w:b w:val="0"/>
          <w:bCs/>
        </w:rPr>
        <w:t xml:space="preserve"> en la ZNI</w:t>
      </w:r>
      <w:r w:rsidR="00523B2E">
        <w:rPr>
          <w:b w:val="0"/>
          <w:bCs/>
        </w:rPr>
        <w:t>, y a los OR del SIN que atienden mercados en ZNI que se van a conectar al SIN a un mercado de comercialización diferente al que atiende el OR. E</w:t>
      </w:r>
      <w:r w:rsidRPr="00FD6E4E">
        <w:rPr>
          <w:b w:val="0"/>
          <w:bCs/>
        </w:rPr>
        <w:t>n esta resolución</w:t>
      </w:r>
      <w:r w:rsidR="00347F79" w:rsidRPr="00FD6E4E">
        <w:rPr>
          <w:b w:val="0"/>
          <w:bCs/>
        </w:rPr>
        <w:t>, a</w:t>
      </w:r>
      <w:r w:rsidRPr="00FD6E4E">
        <w:rPr>
          <w:b w:val="0"/>
          <w:bCs/>
        </w:rPr>
        <w:t xml:space="preserve"> </w:t>
      </w:r>
      <w:r w:rsidR="00AF6C45" w:rsidRPr="00FD6E4E">
        <w:rPr>
          <w:b w:val="0"/>
          <w:bCs/>
        </w:rPr>
        <w:t>una</w:t>
      </w:r>
      <w:r w:rsidRPr="00FD6E4E">
        <w:rPr>
          <w:b w:val="0"/>
          <w:bCs/>
        </w:rPr>
        <w:t xml:space="preserve"> empresa</w:t>
      </w:r>
      <w:r w:rsidR="00AF6C45" w:rsidRPr="00FD6E4E">
        <w:rPr>
          <w:b w:val="0"/>
          <w:bCs/>
        </w:rPr>
        <w:t xml:space="preserve"> que está en </w:t>
      </w:r>
      <w:r w:rsidR="003220E6">
        <w:rPr>
          <w:b w:val="0"/>
          <w:bCs/>
        </w:rPr>
        <w:t>una de estas</w:t>
      </w:r>
      <w:r w:rsidR="003220E6" w:rsidRPr="00FD6E4E">
        <w:rPr>
          <w:b w:val="0"/>
          <w:bCs/>
        </w:rPr>
        <w:t xml:space="preserve"> condici</w:t>
      </w:r>
      <w:r w:rsidR="003220E6">
        <w:rPr>
          <w:b w:val="0"/>
          <w:bCs/>
        </w:rPr>
        <w:t>o</w:t>
      </w:r>
      <w:r w:rsidR="003220E6" w:rsidRPr="00FD6E4E">
        <w:rPr>
          <w:b w:val="0"/>
          <w:bCs/>
        </w:rPr>
        <w:t>n</w:t>
      </w:r>
      <w:r w:rsidR="003220E6">
        <w:rPr>
          <w:b w:val="0"/>
          <w:bCs/>
        </w:rPr>
        <w:t>es</w:t>
      </w:r>
      <w:r w:rsidR="003220E6" w:rsidRPr="00FD6E4E">
        <w:rPr>
          <w:b w:val="0"/>
          <w:bCs/>
        </w:rPr>
        <w:t xml:space="preserve"> </w:t>
      </w:r>
      <w:r w:rsidRPr="00FD6E4E">
        <w:rPr>
          <w:b w:val="0"/>
          <w:bCs/>
        </w:rPr>
        <w:t>se le denomina “empresa que se traslada al SIN”.</w:t>
      </w:r>
      <w:r w:rsidRPr="004A19E9">
        <w:t xml:space="preserve"> </w:t>
      </w:r>
      <w:r>
        <w:t xml:space="preserve"> </w:t>
      </w:r>
    </w:p>
    <w:p w14:paraId="59274C06" w14:textId="77777777" w:rsidR="0075222B" w:rsidRDefault="0075222B" w:rsidP="0075222B">
      <w:pPr>
        <w:pStyle w:val="Ttulo"/>
        <w:keepNext/>
        <w:numPr>
          <w:ilvl w:val="0"/>
          <w:numId w:val="9"/>
        </w:numPr>
        <w:spacing w:before="360" w:after="360"/>
        <w:ind w:left="0" w:right="-850" w:firstLine="284"/>
        <w:jc w:val="center"/>
        <w:outlineLvl w:val="0"/>
      </w:pPr>
    </w:p>
    <w:p w14:paraId="0D520AD4" w14:textId="253ABB11" w:rsidR="0078724E" w:rsidRPr="002F08B9" w:rsidRDefault="006D3E7B" w:rsidP="0075222B">
      <w:pPr>
        <w:pStyle w:val="Ttulo"/>
        <w:keepNext/>
        <w:numPr>
          <w:ilvl w:val="0"/>
          <w:numId w:val="0"/>
        </w:numPr>
        <w:spacing w:before="360" w:after="360"/>
        <w:ind w:left="2832" w:firstLine="996"/>
        <w:outlineLvl w:val="0"/>
      </w:pPr>
      <w:r w:rsidRPr="00726B6C">
        <w:t>DISTRIBUCIÓN</w:t>
      </w:r>
    </w:p>
    <w:p w14:paraId="6753E93E" w14:textId="173F627C" w:rsidR="00F317BE" w:rsidRPr="00F317BE" w:rsidRDefault="00A3093C" w:rsidP="00F317BE">
      <w:pPr>
        <w:pStyle w:val="Artculo"/>
        <w:numPr>
          <w:ilvl w:val="0"/>
          <w:numId w:val="19"/>
        </w:numPr>
        <w:spacing w:before="360" w:after="0"/>
        <w:ind w:left="0"/>
        <w:outlineLvl w:val="1"/>
        <w:rPr>
          <w:b w:val="0"/>
          <w:bCs/>
        </w:rPr>
      </w:pPr>
      <w:bookmarkStart w:id="2" w:name="_Ref69717126"/>
      <w:r>
        <w:t>A</w:t>
      </w:r>
      <w:r w:rsidR="00F317BE" w:rsidRPr="00F42C94">
        <w:t>probación de ingresos.</w:t>
      </w:r>
      <w:r w:rsidR="00F317BE">
        <w:t xml:space="preserve"> </w:t>
      </w:r>
      <w:r w:rsidR="00253A20">
        <w:rPr>
          <w:b w:val="0"/>
          <w:bCs/>
        </w:rPr>
        <w:t>D</w:t>
      </w:r>
      <w:r w:rsidR="00253A20" w:rsidRPr="00F317BE">
        <w:rPr>
          <w:b w:val="0"/>
          <w:bCs/>
        </w:rPr>
        <w:t>e acuerdo con lo establecido en la Resolución CREG 015 de 2018</w:t>
      </w:r>
      <w:r w:rsidR="00253A20">
        <w:rPr>
          <w:b w:val="0"/>
          <w:bCs/>
        </w:rPr>
        <w:t>, u</w:t>
      </w:r>
      <w:r w:rsidR="00F317BE" w:rsidRPr="00F317BE">
        <w:rPr>
          <w:b w:val="0"/>
          <w:bCs/>
        </w:rPr>
        <w:t>na empresa que se traslada al SIN deberá presentar una solicitud de aprobación de ingresos</w:t>
      </w:r>
      <w:r w:rsidR="00253A20">
        <w:rPr>
          <w:b w:val="0"/>
          <w:bCs/>
        </w:rPr>
        <w:t>,</w:t>
      </w:r>
      <w:r w:rsidR="00F317BE" w:rsidRPr="00F317BE">
        <w:rPr>
          <w:b w:val="0"/>
          <w:bCs/>
        </w:rPr>
        <w:t xml:space="preserve"> para la actividad de distribución de energía eléctrica</w:t>
      </w:r>
      <w:r w:rsidR="00CA38AB" w:rsidRPr="00CA38AB">
        <w:rPr>
          <w:b w:val="0"/>
          <w:bCs/>
        </w:rPr>
        <w:t xml:space="preserve"> </w:t>
      </w:r>
      <w:r w:rsidR="00CA38AB">
        <w:rPr>
          <w:b w:val="0"/>
          <w:bCs/>
        </w:rPr>
        <w:t>que se va a desarrollar en el mercado de comercialización que se conecta al SIN</w:t>
      </w:r>
      <w:r w:rsidR="00F317BE" w:rsidRPr="00F317BE">
        <w:rPr>
          <w:b w:val="0"/>
          <w:bCs/>
        </w:rPr>
        <w:t xml:space="preserve">. Para </w:t>
      </w:r>
      <w:r w:rsidR="00142D53">
        <w:rPr>
          <w:b w:val="0"/>
          <w:bCs/>
        </w:rPr>
        <w:t xml:space="preserve">la aprobación de los ingresos </w:t>
      </w:r>
      <w:r w:rsidR="00253A20">
        <w:rPr>
          <w:b w:val="0"/>
          <w:bCs/>
        </w:rPr>
        <w:t>correspondientes a este</w:t>
      </w:r>
      <w:r w:rsidR="00142D53">
        <w:rPr>
          <w:b w:val="0"/>
          <w:bCs/>
        </w:rPr>
        <w:t xml:space="preserve"> mercado</w:t>
      </w:r>
      <w:r w:rsidR="00F317BE" w:rsidRPr="00F317BE">
        <w:rPr>
          <w:b w:val="0"/>
          <w:bCs/>
        </w:rPr>
        <w:t xml:space="preserve"> se tendrá en cuenta lo establecido en la presente resolución y, en lo no previsto, se aplicará lo señalado en la Resolución CREG 015 de 2018 y sus modificaciones.</w:t>
      </w:r>
      <w:bookmarkEnd w:id="2"/>
    </w:p>
    <w:p w14:paraId="56AF4088" w14:textId="0654B519" w:rsidR="003F1295" w:rsidRDefault="00F317BE" w:rsidP="003F1295">
      <w:pPr>
        <w:pStyle w:val="Artculo"/>
        <w:numPr>
          <w:ilvl w:val="0"/>
          <w:numId w:val="19"/>
        </w:numPr>
        <w:spacing w:before="360" w:after="0"/>
        <w:ind w:left="0"/>
        <w:outlineLvl w:val="1"/>
      </w:pPr>
      <w:r>
        <w:t>Aplicación de criterios generales.</w:t>
      </w:r>
      <w:r w:rsidR="00001025">
        <w:t xml:space="preserve"> </w:t>
      </w:r>
      <w:r w:rsidR="003F1295" w:rsidRPr="003F1295">
        <w:rPr>
          <w:b w:val="0"/>
          <w:bCs/>
        </w:rPr>
        <w:t xml:space="preserve">A una empresa que se traslada al SIN le aplican los criterios generales previstos en la Resolución CREG 015 de 2018, excepto los literales </w:t>
      </w:r>
      <w:r w:rsidR="003F1295" w:rsidRPr="003F1295">
        <w:rPr>
          <w:b w:val="0"/>
          <w:bCs/>
          <w:lang w:val="es-CO"/>
        </w:rPr>
        <w:t>b), c), d), e) y h).</w:t>
      </w:r>
      <w:r w:rsidR="003F1295" w:rsidRPr="003F1295">
        <w:rPr>
          <w:bCs/>
        </w:rPr>
        <w:t xml:space="preserve"> </w:t>
      </w:r>
    </w:p>
    <w:p w14:paraId="01450F6A" w14:textId="49390447" w:rsidR="0040235C" w:rsidRPr="0040235C" w:rsidRDefault="0078724E" w:rsidP="0078724E">
      <w:pPr>
        <w:pStyle w:val="Artculo"/>
        <w:spacing w:before="360" w:after="0"/>
        <w:ind w:left="0"/>
        <w:outlineLvl w:val="1"/>
      </w:pPr>
      <w:bookmarkStart w:id="3" w:name="_Ref110361301"/>
      <w:r w:rsidRPr="00CC24D6">
        <w:t>Plazo para presentar la solicitud.</w:t>
      </w:r>
      <w:r>
        <w:t xml:space="preserve"> </w:t>
      </w:r>
      <w:r w:rsidR="008E7540">
        <w:rPr>
          <w:b w:val="0"/>
          <w:bCs/>
        </w:rPr>
        <w:t>L</w:t>
      </w:r>
      <w:r w:rsidR="00E616CF">
        <w:rPr>
          <w:b w:val="0"/>
          <w:bCs/>
        </w:rPr>
        <w:t>a</w:t>
      </w:r>
      <w:r w:rsidRPr="00DB05DD">
        <w:rPr>
          <w:b w:val="0"/>
          <w:bCs/>
        </w:rPr>
        <w:t xml:space="preserve"> empresa que </w:t>
      </w:r>
      <w:r w:rsidR="00CB2529">
        <w:rPr>
          <w:b w:val="0"/>
          <w:bCs/>
        </w:rPr>
        <w:t>se traslad</w:t>
      </w:r>
      <w:r w:rsidR="00840DFE">
        <w:rPr>
          <w:b w:val="0"/>
          <w:bCs/>
        </w:rPr>
        <w:t>a</w:t>
      </w:r>
      <w:r w:rsidR="0066512C">
        <w:rPr>
          <w:b w:val="0"/>
          <w:bCs/>
        </w:rPr>
        <w:t xml:space="preserve"> al SIN </w:t>
      </w:r>
      <w:r w:rsidR="00E616CF" w:rsidRPr="00E616CF">
        <w:rPr>
          <w:b w:val="0"/>
          <w:bCs/>
        </w:rPr>
        <w:t>tendrá un plazo de seis (6) meses, contados a partir de la interconexión</w:t>
      </w:r>
      <w:r w:rsidR="00DF5798">
        <w:rPr>
          <w:b w:val="0"/>
          <w:bCs/>
        </w:rPr>
        <w:t xml:space="preserve">, para solicitar </w:t>
      </w:r>
      <w:r w:rsidR="00026472">
        <w:rPr>
          <w:b w:val="0"/>
          <w:bCs/>
        </w:rPr>
        <w:t>la aprobación de ingresos para la actividad de distribución</w:t>
      </w:r>
      <w:r w:rsidR="00D0426D">
        <w:rPr>
          <w:b w:val="0"/>
          <w:bCs/>
        </w:rPr>
        <w:t xml:space="preserve"> en el nuevo mercado que se conecta al SIN</w:t>
      </w:r>
      <w:r w:rsidR="0040235C">
        <w:rPr>
          <w:b w:val="0"/>
          <w:bCs/>
        </w:rPr>
        <w:t>.</w:t>
      </w:r>
      <w:bookmarkEnd w:id="3"/>
    </w:p>
    <w:p w14:paraId="12503506" w14:textId="376E1B52" w:rsidR="0078724E" w:rsidRDefault="00A35D15" w:rsidP="00A35D15">
      <w:pPr>
        <w:rPr>
          <w:bCs/>
        </w:rPr>
      </w:pPr>
      <w:r w:rsidRPr="00FF3D3D">
        <w:rPr>
          <w:b/>
          <w:bCs/>
        </w:rPr>
        <w:lastRenderedPageBreak/>
        <w:t>Parágrafo</w:t>
      </w:r>
      <w:r w:rsidR="00FF7A9B">
        <w:rPr>
          <w:b/>
          <w:bCs/>
        </w:rPr>
        <w:t xml:space="preserve"> 1</w:t>
      </w:r>
      <w:r w:rsidRPr="00FF3D3D">
        <w:rPr>
          <w:b/>
          <w:bCs/>
        </w:rPr>
        <w:t>.</w:t>
      </w:r>
      <w:r>
        <w:t xml:space="preserve"> </w:t>
      </w:r>
      <w:r w:rsidR="00026472">
        <w:t xml:space="preserve"> </w:t>
      </w:r>
      <w:r>
        <w:t>La empresa que</w:t>
      </w:r>
      <w:r w:rsidR="00AE60D3">
        <w:t>,</w:t>
      </w:r>
      <w:r>
        <w:t xml:space="preserve"> </w:t>
      </w:r>
      <w:r w:rsidR="0078724E" w:rsidRPr="00DB05DD">
        <w:rPr>
          <w:bCs/>
        </w:rPr>
        <w:t xml:space="preserve">a la fecha de </w:t>
      </w:r>
      <w:proofErr w:type="gramStart"/>
      <w:r w:rsidR="0078724E" w:rsidRPr="00DB05DD">
        <w:rPr>
          <w:bCs/>
        </w:rPr>
        <w:t>entrada en vigencia</w:t>
      </w:r>
      <w:proofErr w:type="gramEnd"/>
      <w:r w:rsidR="0078724E" w:rsidRPr="00DB05DD">
        <w:rPr>
          <w:bCs/>
        </w:rPr>
        <w:t xml:space="preserve"> de la presente resolución</w:t>
      </w:r>
      <w:r w:rsidR="00AE60D3">
        <w:rPr>
          <w:bCs/>
        </w:rPr>
        <w:t>,</w:t>
      </w:r>
      <w:r w:rsidR="0078724E" w:rsidRPr="00DB05DD">
        <w:rPr>
          <w:bCs/>
        </w:rPr>
        <w:t xml:space="preserve"> </w:t>
      </w:r>
      <w:r w:rsidR="00AE60D3">
        <w:rPr>
          <w:bCs/>
        </w:rPr>
        <w:t>ten</w:t>
      </w:r>
      <w:r w:rsidR="00F821D9">
        <w:rPr>
          <w:bCs/>
        </w:rPr>
        <w:t>ga</w:t>
      </w:r>
      <w:r w:rsidR="00AE60D3">
        <w:rPr>
          <w:bCs/>
        </w:rPr>
        <w:t xml:space="preserve"> un mercado de comercialización de ZNI </w:t>
      </w:r>
      <w:r w:rsidR="00CA38AB">
        <w:rPr>
          <w:bCs/>
        </w:rPr>
        <w:t xml:space="preserve">que se ha </w:t>
      </w:r>
      <w:r w:rsidR="00AC0D3D">
        <w:rPr>
          <w:bCs/>
        </w:rPr>
        <w:t>conectad</w:t>
      </w:r>
      <w:r w:rsidR="00AE60D3">
        <w:rPr>
          <w:bCs/>
        </w:rPr>
        <w:t>o</w:t>
      </w:r>
      <w:r w:rsidR="00AC0D3D">
        <w:rPr>
          <w:bCs/>
        </w:rPr>
        <w:t xml:space="preserve"> </w:t>
      </w:r>
      <w:r w:rsidR="00AE60D3">
        <w:t>al SIN</w:t>
      </w:r>
      <w:r w:rsidR="00523B2E">
        <w:t>,</w:t>
      </w:r>
      <w:r w:rsidR="0078724E" w:rsidRPr="00DB05DD">
        <w:rPr>
          <w:bCs/>
        </w:rPr>
        <w:t xml:space="preserve"> tendrá </w:t>
      </w:r>
      <w:r w:rsidR="00AC0D3D">
        <w:rPr>
          <w:bCs/>
        </w:rPr>
        <w:t xml:space="preserve">un </w:t>
      </w:r>
      <w:r w:rsidR="0078724E" w:rsidRPr="00DB05DD">
        <w:rPr>
          <w:bCs/>
        </w:rPr>
        <w:t xml:space="preserve">plazo </w:t>
      </w:r>
      <w:r w:rsidR="007F36A5">
        <w:rPr>
          <w:bCs/>
        </w:rPr>
        <w:t xml:space="preserve">de </w:t>
      </w:r>
      <w:r w:rsidR="000750DD" w:rsidRPr="00E616CF">
        <w:rPr>
          <w:bCs/>
        </w:rPr>
        <w:t xml:space="preserve">seis (6) meses, contados a partir de la </w:t>
      </w:r>
      <w:r w:rsidR="000750DD">
        <w:rPr>
          <w:bCs/>
        </w:rPr>
        <w:t>entrada en vigencia de la presente resolución</w:t>
      </w:r>
      <w:r w:rsidR="004E7892">
        <w:rPr>
          <w:bCs/>
        </w:rPr>
        <w:t>,</w:t>
      </w:r>
      <w:r w:rsidR="000750DD">
        <w:rPr>
          <w:bCs/>
        </w:rPr>
        <w:t xml:space="preserve"> </w:t>
      </w:r>
      <w:r w:rsidR="0078724E" w:rsidRPr="00DB05DD">
        <w:rPr>
          <w:bCs/>
        </w:rPr>
        <w:t xml:space="preserve">para presentar </w:t>
      </w:r>
      <w:r w:rsidR="00D0426D" w:rsidRPr="00DB05DD">
        <w:rPr>
          <w:bCs/>
        </w:rPr>
        <w:t xml:space="preserve">a la CREG </w:t>
      </w:r>
      <w:r w:rsidR="00D0426D">
        <w:rPr>
          <w:bCs/>
        </w:rPr>
        <w:t>la</w:t>
      </w:r>
      <w:r w:rsidR="00D0426D" w:rsidRPr="00DB05DD">
        <w:rPr>
          <w:bCs/>
        </w:rPr>
        <w:t xml:space="preserve"> </w:t>
      </w:r>
      <w:r w:rsidR="0078724E" w:rsidRPr="00DB05DD">
        <w:rPr>
          <w:bCs/>
        </w:rPr>
        <w:t xml:space="preserve">solicitud de ingresos </w:t>
      </w:r>
      <w:r w:rsidR="000750DD">
        <w:rPr>
          <w:bCs/>
        </w:rPr>
        <w:t>de distribución</w:t>
      </w:r>
      <w:r w:rsidR="00D0426D">
        <w:rPr>
          <w:bCs/>
        </w:rPr>
        <w:t xml:space="preserve"> para ese mercado</w:t>
      </w:r>
      <w:r w:rsidR="0078724E" w:rsidRPr="00DB05DD">
        <w:rPr>
          <w:bCs/>
        </w:rPr>
        <w:t>.</w:t>
      </w:r>
    </w:p>
    <w:p w14:paraId="074D1FEE" w14:textId="768AD135" w:rsidR="00347AE9" w:rsidRDefault="00FF7A9B" w:rsidP="00A35D15">
      <w:r w:rsidRPr="004A19E9">
        <w:rPr>
          <w:b/>
          <w:bCs/>
        </w:rPr>
        <w:t>Parágrafo 2.</w:t>
      </w:r>
      <w:r>
        <w:t xml:space="preserve"> </w:t>
      </w:r>
      <w:r w:rsidR="00F34D8C" w:rsidRPr="00F34D8C">
        <w:t xml:space="preserve">Cuando </w:t>
      </w:r>
      <w:r w:rsidR="00F34D8C">
        <w:t xml:space="preserve">la empresa que se traslada al SIN </w:t>
      </w:r>
      <w:r w:rsidR="00F34D8C" w:rsidRPr="00FF7A9B">
        <w:t>no someta a aprobación de la CREG la solicitud de ingresos en el plazo previsto</w:t>
      </w:r>
      <w:r w:rsidR="00F34D8C">
        <w:t>,</w:t>
      </w:r>
      <w:r w:rsidR="00F34D8C" w:rsidRPr="00F34D8C">
        <w:t xml:space="preserve"> no entregue</w:t>
      </w:r>
      <w:r w:rsidR="00F34D8C">
        <w:t xml:space="preserve"> la</w:t>
      </w:r>
      <w:r w:rsidR="00F34D8C" w:rsidRPr="00F34D8C">
        <w:t xml:space="preserve"> información </w:t>
      </w:r>
      <w:r w:rsidR="00F34D8C">
        <w:t xml:space="preserve">requerida </w:t>
      </w:r>
      <w:r w:rsidR="00F34D8C" w:rsidRPr="00F34D8C">
        <w:t xml:space="preserve">o </w:t>
      </w:r>
      <w:r w:rsidR="005A4312">
        <w:t xml:space="preserve">no complete la información en los plazos otorgados para ello, </w:t>
      </w:r>
      <w:r w:rsidR="00F34D8C">
        <w:t>la Comisión</w:t>
      </w:r>
      <w:r w:rsidR="004826E9">
        <w:t xml:space="preserve"> procederá, de oficio,</w:t>
      </w:r>
      <w:r w:rsidR="00F34D8C">
        <w:t xml:space="preserve"> </w:t>
      </w:r>
      <w:r w:rsidR="004826E9">
        <w:t>a</w:t>
      </w:r>
      <w:r w:rsidR="00142D53">
        <w:t xml:space="preserve"> abrir la correspondiente actuación administrativa para</w:t>
      </w:r>
      <w:r w:rsidR="004826E9">
        <w:t xml:space="preserve"> </w:t>
      </w:r>
      <w:r w:rsidR="00F34D8C">
        <w:t>aprobar</w:t>
      </w:r>
      <w:r w:rsidR="004826E9">
        <w:t xml:space="preserve"> </w:t>
      </w:r>
      <w:r w:rsidR="00347AE9">
        <w:t xml:space="preserve">la resolución que determina </w:t>
      </w:r>
      <w:r w:rsidR="004826E9">
        <w:t>los</w:t>
      </w:r>
      <w:r w:rsidR="00F34D8C">
        <w:t xml:space="preserve"> ingresos </w:t>
      </w:r>
      <w:r w:rsidR="00347AE9">
        <w:t xml:space="preserve">del mercado que se conecta al SIN. </w:t>
      </w:r>
    </w:p>
    <w:p w14:paraId="6CCF3502" w14:textId="4688C940" w:rsidR="00142D53" w:rsidRDefault="00347AE9" w:rsidP="00A35D15">
      <w:r>
        <w:t xml:space="preserve">En este caso, los ingresos aprobados deben cumplir la condición </w:t>
      </w:r>
      <w:r w:rsidR="00F34D8C">
        <w:t xml:space="preserve">de que resulten cargos de los niveles de tensión 3, 2 y 1, de los que trata el numeral 1.2 del anexo general de la </w:t>
      </w:r>
      <w:r w:rsidR="00772F24" w:rsidRPr="002A1D22">
        <w:rPr>
          <w:lang w:val="es-MX"/>
        </w:rPr>
        <w:t>Resolución CREG 015 de 2018</w:t>
      </w:r>
      <w:r w:rsidR="00772F24">
        <w:rPr>
          <w:lang w:val="es-MX"/>
        </w:rPr>
        <w:t>,</w:t>
      </w:r>
      <w:r w:rsidR="00772F24" w:rsidRPr="002A1D22">
        <w:rPr>
          <w:lang w:val="es-MX"/>
        </w:rPr>
        <w:t xml:space="preserve"> </w:t>
      </w:r>
      <w:r w:rsidR="00F34D8C" w:rsidRPr="00F34D8C">
        <w:t>equivalente</w:t>
      </w:r>
      <w:r w:rsidR="00772F24">
        <w:t>s</w:t>
      </w:r>
      <w:r w:rsidR="00F34D8C" w:rsidRPr="00F34D8C">
        <w:t xml:space="preserve"> al </w:t>
      </w:r>
      <w:r w:rsidR="005A4312">
        <w:t xml:space="preserve">mínimo entre el cargo de la ZNI y el </w:t>
      </w:r>
      <w:r w:rsidR="00F34D8C" w:rsidRPr="00F34D8C">
        <w:t xml:space="preserve">90% del </w:t>
      </w:r>
      <w:r w:rsidR="00F34D8C">
        <w:t xml:space="preserve">cargo </w:t>
      </w:r>
      <w:r w:rsidR="00F34D8C" w:rsidRPr="00F34D8C">
        <w:t xml:space="preserve">correspondiente </w:t>
      </w:r>
      <w:r w:rsidR="00C4555E">
        <w:t>d</w:t>
      </w:r>
      <w:r w:rsidR="00CD122B">
        <w:t>e</w:t>
      </w:r>
      <w:r w:rsidR="00F34D8C" w:rsidRPr="00F34D8C">
        <w:t>l OR m</w:t>
      </w:r>
      <w:r w:rsidR="00F34D8C">
        <w:t>á</w:t>
      </w:r>
      <w:r w:rsidR="00F34D8C" w:rsidRPr="00F34D8C">
        <w:t>s cercano.</w:t>
      </w:r>
    </w:p>
    <w:p w14:paraId="593350B9" w14:textId="55B75280" w:rsidR="00FF7A9B" w:rsidRDefault="00142D53" w:rsidP="00A35D15">
      <w:r>
        <w:t>Una vez se empiece a aplicar la resolución particular, que t</w:t>
      </w:r>
      <w:r w:rsidR="00347AE9">
        <w:t>iene</w:t>
      </w:r>
      <w:r>
        <w:t xml:space="preserve"> en cuenta la condición mencionada</w:t>
      </w:r>
      <w:r w:rsidR="00006E7D">
        <w:t xml:space="preserve"> en este parágrafo</w:t>
      </w:r>
      <w:r w:rsidR="00F34D8C">
        <w:t xml:space="preserve">, los cargos </w:t>
      </w:r>
      <w:r w:rsidR="00772F24">
        <w:t xml:space="preserve">vigentes </w:t>
      </w:r>
      <w:r w:rsidR="00F34D8C">
        <w:t xml:space="preserve">de </w:t>
      </w:r>
      <w:r w:rsidR="00772F24">
        <w:t xml:space="preserve">los niveles de tensión 3, 2 y 1 </w:t>
      </w:r>
      <w:r w:rsidR="0085629D">
        <w:t>tendrán</w:t>
      </w:r>
      <w:r w:rsidR="00347AE9">
        <w:t>, como mínimo,</w:t>
      </w:r>
      <w:r w:rsidR="00772F24">
        <w:t xml:space="preserve"> una reducción del </w:t>
      </w:r>
      <w:r w:rsidR="00F34D8C" w:rsidRPr="00F34D8C">
        <w:t xml:space="preserve">2% </w:t>
      </w:r>
      <w:r w:rsidR="00772F24">
        <w:t xml:space="preserve">cada </w:t>
      </w:r>
      <w:r w:rsidR="005A4312">
        <w:t>mes</w:t>
      </w:r>
      <w:r w:rsidR="00772F24">
        <w:t xml:space="preserve"> que transcurra de</w:t>
      </w:r>
      <w:r w:rsidR="00471021">
        <w:t xml:space="preserve">sde </w:t>
      </w:r>
      <w:r w:rsidR="000920FF">
        <w:t>el inicio de la</w:t>
      </w:r>
      <w:r w:rsidR="00772F24">
        <w:t xml:space="preserve"> aplicación de los cargos aprobados</w:t>
      </w:r>
      <w:r w:rsidR="009B1B6E">
        <w:t>, hasta llegar al 80% del valor aprobado</w:t>
      </w:r>
      <w:r w:rsidR="00772F24">
        <w:t xml:space="preserve">. </w:t>
      </w:r>
      <w:r w:rsidR="00FF7A9B" w:rsidRPr="00FF7A9B">
        <w:t>Est</w:t>
      </w:r>
      <w:r w:rsidR="0060512D">
        <w:t xml:space="preserve">a </w:t>
      </w:r>
      <w:r>
        <w:t xml:space="preserve">forma de </w:t>
      </w:r>
      <w:r w:rsidR="0060512D">
        <w:t xml:space="preserve">remuneración </w:t>
      </w:r>
      <w:r w:rsidR="00FF7A9B" w:rsidRPr="00FF7A9B">
        <w:t xml:space="preserve">estará vigente </w:t>
      </w:r>
      <w:r w:rsidR="000920FF">
        <w:t xml:space="preserve">mientras </w:t>
      </w:r>
      <w:r w:rsidR="00541E16">
        <w:t>inicia la aplicac</w:t>
      </w:r>
      <w:r w:rsidR="005C0D13">
        <w:t>ión de</w:t>
      </w:r>
      <w:r w:rsidR="000920FF">
        <w:t xml:space="preserve"> </w:t>
      </w:r>
      <w:r w:rsidR="00713FF2">
        <w:t xml:space="preserve">la resolución </w:t>
      </w:r>
      <w:r w:rsidR="00BC60B5">
        <w:t>de la CREG</w:t>
      </w:r>
      <w:r w:rsidR="008916B7">
        <w:t xml:space="preserve"> donde se</w:t>
      </w:r>
      <w:r w:rsidR="00820263">
        <w:t xml:space="preserve"> apruebe</w:t>
      </w:r>
      <w:r w:rsidR="008916B7">
        <w:t>n</w:t>
      </w:r>
      <w:r w:rsidR="00820263">
        <w:t xml:space="preserve"> </w:t>
      </w:r>
      <w:r w:rsidR="005A442B">
        <w:t>los ingr</w:t>
      </w:r>
      <w:r w:rsidR="00F50490">
        <w:t>e</w:t>
      </w:r>
      <w:r w:rsidR="005A442B">
        <w:t>sos</w:t>
      </w:r>
      <w:r w:rsidR="003A050C">
        <w:t xml:space="preserve"> de</w:t>
      </w:r>
      <w:r w:rsidR="00AD6B3A">
        <w:t xml:space="preserve"> </w:t>
      </w:r>
      <w:r w:rsidR="0060512D">
        <w:t>la</w:t>
      </w:r>
      <w:r w:rsidR="0060512D" w:rsidRPr="00FF7A9B">
        <w:t xml:space="preserve"> </w:t>
      </w:r>
      <w:r w:rsidR="0060512D" w:rsidRPr="00D81F24">
        <w:rPr>
          <w:bCs/>
        </w:rPr>
        <w:t>empresa que se traslada al SIN</w:t>
      </w:r>
      <w:r w:rsidR="00006E7D">
        <w:rPr>
          <w:bCs/>
        </w:rPr>
        <w:t xml:space="preserve"> para el nuevo mercado</w:t>
      </w:r>
      <w:r w:rsidR="00F50490">
        <w:rPr>
          <w:bCs/>
        </w:rPr>
        <w:t>, una vez</w:t>
      </w:r>
      <w:r w:rsidR="0060512D" w:rsidRPr="00FF7A9B">
        <w:t xml:space="preserve"> </w:t>
      </w:r>
      <w:r w:rsidR="00FF7A9B" w:rsidRPr="00FF7A9B">
        <w:t>formule la respectiva solicitud</w:t>
      </w:r>
      <w:r w:rsidR="005A442B" w:rsidRPr="005A442B">
        <w:t xml:space="preserve"> </w:t>
      </w:r>
      <w:r w:rsidR="005A442B">
        <w:t>con toda la información requerida</w:t>
      </w:r>
      <w:r w:rsidR="0060512D">
        <w:t>.</w:t>
      </w:r>
    </w:p>
    <w:p w14:paraId="2A0EE7EB" w14:textId="0CE9DCCD" w:rsidR="0078724E" w:rsidRPr="002C0787" w:rsidRDefault="0078724E" w:rsidP="0078724E">
      <w:pPr>
        <w:pStyle w:val="Artculo"/>
        <w:spacing w:before="360" w:after="0"/>
        <w:ind w:left="0"/>
        <w:outlineLvl w:val="1"/>
      </w:pPr>
      <w:bookmarkStart w:id="4" w:name="_Ref122625734"/>
      <w:r w:rsidRPr="00F205BA">
        <w:t>Fecha de corte.</w:t>
      </w:r>
      <w:r>
        <w:t xml:space="preserve"> </w:t>
      </w:r>
      <w:r w:rsidR="001A3726">
        <w:rPr>
          <w:b w:val="0"/>
          <w:bCs/>
        </w:rPr>
        <w:t>Para una empresa que se traslada al SIN, l</w:t>
      </w:r>
      <w:r w:rsidR="001A3726" w:rsidRPr="00DB05DD">
        <w:rPr>
          <w:b w:val="0"/>
          <w:bCs/>
        </w:rPr>
        <w:t xml:space="preserve">a </w:t>
      </w:r>
      <w:r w:rsidR="004826E9">
        <w:rPr>
          <w:b w:val="0"/>
          <w:bCs/>
        </w:rPr>
        <w:t>f</w:t>
      </w:r>
      <w:r w:rsidR="004826E9" w:rsidRPr="00DB05DD">
        <w:rPr>
          <w:b w:val="0"/>
          <w:bCs/>
        </w:rPr>
        <w:t xml:space="preserve">echa </w:t>
      </w:r>
      <w:r w:rsidR="001A3726" w:rsidRPr="00DB05DD">
        <w:rPr>
          <w:b w:val="0"/>
          <w:bCs/>
        </w:rPr>
        <w:t>de corte</w:t>
      </w:r>
      <w:r w:rsidR="001A3726">
        <w:rPr>
          <w:b w:val="0"/>
          <w:bCs/>
        </w:rPr>
        <w:t xml:space="preserve"> definida en el artículo 3 de la Resolución CREG 015 de 2018, </w:t>
      </w:r>
      <w:r w:rsidRPr="00DB05DD">
        <w:rPr>
          <w:b w:val="0"/>
          <w:bCs/>
        </w:rPr>
        <w:t>corresponderá al 31 de diciembre del año anterior al de la presentación de la solicitud de aprobación de ingresos a la CREG</w:t>
      </w:r>
      <w:r w:rsidR="00523B2E">
        <w:rPr>
          <w:b w:val="0"/>
          <w:bCs/>
        </w:rPr>
        <w:t xml:space="preserve"> para el mercado que se conecta al SIN</w:t>
      </w:r>
      <w:r w:rsidRPr="00DB05DD">
        <w:rPr>
          <w:b w:val="0"/>
          <w:bCs/>
        </w:rPr>
        <w:t>.</w:t>
      </w:r>
      <w:bookmarkEnd w:id="4"/>
    </w:p>
    <w:p w14:paraId="2C6B46D2" w14:textId="0819F015" w:rsidR="00C74684" w:rsidRDefault="00D0507C" w:rsidP="00D0507C">
      <w:pPr>
        <w:rPr>
          <w:lang w:val="es-MX"/>
        </w:rPr>
      </w:pPr>
      <w:r>
        <w:rPr>
          <w:lang w:val="es-MX"/>
        </w:rPr>
        <w:t>Cuand</w:t>
      </w:r>
      <w:r w:rsidRPr="002A1D22">
        <w:rPr>
          <w:lang w:val="es-MX"/>
        </w:rPr>
        <w:t>o en la Resolución CREG 015 de 2018</w:t>
      </w:r>
      <w:r w:rsidR="00AA37B6">
        <w:rPr>
          <w:lang w:val="es-MX"/>
        </w:rPr>
        <w:t xml:space="preserve"> se hace referencia al “Índice de preci</w:t>
      </w:r>
      <w:r w:rsidR="00863E9D">
        <w:rPr>
          <w:lang w:val="es-MX"/>
        </w:rPr>
        <w:t>o</w:t>
      </w:r>
      <w:r w:rsidR="00AA37B6">
        <w:rPr>
          <w:lang w:val="es-MX"/>
        </w:rPr>
        <w:t xml:space="preserve">s </w:t>
      </w:r>
      <w:r w:rsidR="00E00C27">
        <w:rPr>
          <w:lang w:val="es-MX"/>
        </w:rPr>
        <w:t>de</w:t>
      </w:r>
      <w:r w:rsidR="00AA37B6">
        <w:rPr>
          <w:lang w:val="es-MX"/>
        </w:rPr>
        <w:t xml:space="preserve">l </w:t>
      </w:r>
      <w:r w:rsidR="008D3B04">
        <w:rPr>
          <w:lang w:val="es-MX"/>
        </w:rPr>
        <w:t>p</w:t>
      </w:r>
      <w:r w:rsidR="00AA37B6">
        <w:rPr>
          <w:lang w:val="es-MX"/>
        </w:rPr>
        <w:t xml:space="preserve">roductor </w:t>
      </w:r>
      <w:r w:rsidR="00E00C27">
        <w:rPr>
          <w:lang w:val="es-MX"/>
        </w:rPr>
        <w:t>de</w:t>
      </w:r>
      <w:r w:rsidR="00AA37B6">
        <w:rPr>
          <w:lang w:val="es-MX"/>
        </w:rPr>
        <w:t xml:space="preserve"> la fecha de corte”</w:t>
      </w:r>
      <w:r w:rsidR="000727D0">
        <w:rPr>
          <w:lang w:val="es-MX"/>
        </w:rPr>
        <w:t>,</w:t>
      </w:r>
      <w:r w:rsidR="002F13A0" w:rsidRPr="002A1D22">
        <w:rPr>
          <w:lang w:val="es-MX"/>
        </w:rPr>
        <w:t xml:space="preserve"> </w:t>
      </w:r>
      <w:r w:rsidR="00E00C27">
        <w:rPr>
          <w:lang w:val="es-MX"/>
        </w:rPr>
        <w:t xml:space="preserve">se entenderá que se debe utilizar el </w:t>
      </w:r>
      <w:r w:rsidR="008D3B04">
        <w:rPr>
          <w:lang w:val="es-MX"/>
        </w:rPr>
        <w:t>Índice de precios del productor de diciembre de 2017</w:t>
      </w:r>
      <w:r w:rsidR="00F55812">
        <w:rPr>
          <w:lang w:val="es-MX"/>
        </w:rPr>
        <w:t>.</w:t>
      </w:r>
    </w:p>
    <w:p w14:paraId="75E096D7" w14:textId="1EEFBB73" w:rsidR="00F55812" w:rsidRDefault="00F55812" w:rsidP="00D0507C">
      <w:pPr>
        <w:rPr>
          <w:lang w:val="es-MX"/>
        </w:rPr>
      </w:pPr>
      <w:r>
        <w:rPr>
          <w:lang w:val="es-MX"/>
        </w:rPr>
        <w:t>Cuand</w:t>
      </w:r>
      <w:r w:rsidRPr="002A1D22">
        <w:rPr>
          <w:lang w:val="es-MX"/>
        </w:rPr>
        <w:t>o en la Resolución CREG 015 de 2018</w:t>
      </w:r>
      <w:r>
        <w:rPr>
          <w:lang w:val="es-MX"/>
        </w:rPr>
        <w:t xml:space="preserve"> se hace referencia al “</w:t>
      </w:r>
      <w:r w:rsidR="00CA50C7">
        <w:rPr>
          <w:lang w:val="es-MX"/>
        </w:rPr>
        <w:t>p</w:t>
      </w:r>
      <w:r w:rsidR="000727D0">
        <w:rPr>
          <w:lang w:val="es-MX"/>
        </w:rPr>
        <w:t>eríodo</w:t>
      </w:r>
      <w:r w:rsidR="00CA50C7">
        <w:rPr>
          <w:lang w:val="es-MX"/>
        </w:rPr>
        <w:t xml:space="preserve"> 2008 </w:t>
      </w:r>
      <w:r w:rsidR="00D73500">
        <w:rPr>
          <w:lang w:val="es-MX"/>
        </w:rPr>
        <w:t>a</w:t>
      </w:r>
      <w:r>
        <w:rPr>
          <w:lang w:val="es-MX"/>
        </w:rPr>
        <w:t xml:space="preserve"> la fecha de corte”</w:t>
      </w:r>
      <w:r w:rsidR="000727D0">
        <w:rPr>
          <w:lang w:val="es-MX"/>
        </w:rPr>
        <w:t>,</w:t>
      </w:r>
      <w:r w:rsidRPr="002A1D22">
        <w:rPr>
          <w:lang w:val="es-MX"/>
        </w:rPr>
        <w:t xml:space="preserve"> </w:t>
      </w:r>
      <w:r>
        <w:rPr>
          <w:lang w:val="es-MX"/>
        </w:rPr>
        <w:t xml:space="preserve">se entenderá que se </w:t>
      </w:r>
      <w:r w:rsidR="00D73500">
        <w:rPr>
          <w:lang w:val="es-MX"/>
        </w:rPr>
        <w:t>hace referencia al p</w:t>
      </w:r>
      <w:r w:rsidR="000727D0">
        <w:rPr>
          <w:lang w:val="es-MX"/>
        </w:rPr>
        <w:t>eríodo</w:t>
      </w:r>
      <w:r w:rsidR="00D73500">
        <w:rPr>
          <w:lang w:val="es-MX"/>
        </w:rPr>
        <w:t xml:space="preserve"> entre el año en el que in</w:t>
      </w:r>
      <w:r w:rsidR="00331BC2">
        <w:rPr>
          <w:lang w:val="es-MX"/>
        </w:rPr>
        <w:t>icia el rango 2</w:t>
      </w:r>
      <w:r w:rsidR="005F6E74">
        <w:rPr>
          <w:lang w:val="es-MX"/>
        </w:rPr>
        <w:t>,</w:t>
      </w:r>
      <w:r w:rsidR="00EB4117">
        <w:rPr>
          <w:lang w:val="es-MX"/>
        </w:rPr>
        <w:t xml:space="preserve"> definido </w:t>
      </w:r>
      <w:r w:rsidR="005F6E74">
        <w:rPr>
          <w:lang w:val="es-MX"/>
        </w:rPr>
        <w:t xml:space="preserve">aquí </w:t>
      </w:r>
      <w:r w:rsidR="00EB4117">
        <w:rPr>
          <w:lang w:val="es-MX"/>
        </w:rPr>
        <w:t xml:space="preserve">en el </w:t>
      </w:r>
      <w:r w:rsidR="00DC169E">
        <w:rPr>
          <w:lang w:val="es-MX"/>
        </w:rPr>
        <w:t xml:space="preserve">artículo </w:t>
      </w:r>
      <w:r w:rsidR="00DC169E">
        <w:rPr>
          <w:lang w:val="es-MX"/>
        </w:rPr>
        <w:fldChar w:fldCharType="begin"/>
      </w:r>
      <w:r w:rsidR="00DC169E">
        <w:rPr>
          <w:lang w:val="es-MX"/>
        </w:rPr>
        <w:instrText xml:space="preserve"> REF _Ref120807768 \r \h </w:instrText>
      </w:r>
      <w:r w:rsidR="00863E9D">
        <w:rPr>
          <w:lang w:val="es-MX"/>
        </w:rPr>
        <w:instrText>\t</w:instrText>
      </w:r>
      <w:r w:rsidR="00DC169E">
        <w:rPr>
          <w:lang w:val="es-MX"/>
        </w:rPr>
      </w:r>
      <w:r w:rsidR="00DC169E">
        <w:rPr>
          <w:lang w:val="es-MX"/>
        </w:rPr>
        <w:fldChar w:fldCharType="separate"/>
      </w:r>
      <w:r w:rsidR="00232342">
        <w:rPr>
          <w:lang w:val="es-MX"/>
        </w:rPr>
        <w:t>10</w:t>
      </w:r>
      <w:r w:rsidR="00DC169E">
        <w:rPr>
          <w:lang w:val="es-MX"/>
        </w:rPr>
        <w:fldChar w:fldCharType="end"/>
      </w:r>
      <w:r w:rsidR="005F6E74">
        <w:rPr>
          <w:lang w:val="es-MX"/>
        </w:rPr>
        <w:t>,</w:t>
      </w:r>
      <w:r w:rsidR="00DC169E">
        <w:rPr>
          <w:lang w:val="es-MX"/>
        </w:rPr>
        <w:t xml:space="preserve"> y la fecha de corte</w:t>
      </w:r>
      <w:r>
        <w:rPr>
          <w:lang w:val="es-MX"/>
        </w:rPr>
        <w:t>.</w:t>
      </w:r>
    </w:p>
    <w:p w14:paraId="0564DFAD" w14:textId="6E944C78" w:rsidR="004E27AE" w:rsidRDefault="00DF487E" w:rsidP="00D0507C">
      <w:pPr>
        <w:rPr>
          <w:lang w:val="es-MX"/>
        </w:rPr>
      </w:pPr>
      <w:r>
        <w:rPr>
          <w:lang w:val="es-MX"/>
        </w:rPr>
        <w:t>Cuand</w:t>
      </w:r>
      <w:r w:rsidRPr="002A1D22">
        <w:rPr>
          <w:lang w:val="es-MX"/>
        </w:rPr>
        <w:t>o en la Resolución CREG 015 de 2018</w:t>
      </w:r>
      <w:r>
        <w:rPr>
          <w:lang w:val="es-MX"/>
        </w:rPr>
        <w:t xml:space="preserve"> se </w:t>
      </w:r>
      <w:r w:rsidR="00ED739A">
        <w:rPr>
          <w:lang w:val="es-MX"/>
        </w:rPr>
        <w:t>mencione que algunas variables deben estar expresados en pesos de la fecha de corte</w:t>
      </w:r>
      <w:r w:rsidR="00523B2E">
        <w:rPr>
          <w:lang w:val="es-MX"/>
        </w:rPr>
        <w:t>,</w:t>
      </w:r>
      <w:r w:rsidR="00ED739A">
        <w:rPr>
          <w:lang w:val="es-MX"/>
        </w:rPr>
        <w:t xml:space="preserve"> se entenderá que est</w:t>
      </w:r>
      <w:r w:rsidR="00A57697">
        <w:rPr>
          <w:lang w:val="es-MX"/>
        </w:rPr>
        <w:t>a</w:t>
      </w:r>
      <w:r w:rsidR="00ED739A">
        <w:rPr>
          <w:lang w:val="es-MX"/>
        </w:rPr>
        <w:t xml:space="preserve">s variables deben </w:t>
      </w:r>
      <w:r w:rsidR="004E27AE">
        <w:rPr>
          <w:lang w:val="es-MX"/>
        </w:rPr>
        <w:t>expresarse en pesos de diciembre de 2017.</w:t>
      </w:r>
    </w:p>
    <w:p w14:paraId="60D0FFA1" w14:textId="32E73338" w:rsidR="00E05DFC" w:rsidRDefault="00E05DFC" w:rsidP="00D0507C">
      <w:pPr>
        <w:rPr>
          <w:lang w:val="es-MX"/>
        </w:rPr>
      </w:pPr>
      <w:r>
        <w:rPr>
          <w:lang w:val="es-MX"/>
        </w:rPr>
        <w:t xml:space="preserve">Para la variable </w:t>
      </w:r>
      <w:proofErr w:type="spellStart"/>
      <w:proofErr w:type="gramStart"/>
      <w:r w:rsidR="004D724E" w:rsidRPr="00694D99">
        <w:rPr>
          <w:i/>
          <w:iCs/>
          <w:lang w:val="es-MX"/>
        </w:rPr>
        <w:t>PPI</w:t>
      </w:r>
      <w:r w:rsidR="004D724E" w:rsidRPr="00694D99">
        <w:rPr>
          <w:i/>
          <w:iCs/>
          <w:vertAlign w:val="subscript"/>
          <w:lang w:val="es-MX"/>
        </w:rPr>
        <w:t>j,n</w:t>
      </w:r>
      <w:proofErr w:type="spellEnd"/>
      <w:proofErr w:type="gramEnd"/>
      <w:r w:rsidR="004D724E">
        <w:rPr>
          <w:lang w:val="es-MX"/>
        </w:rPr>
        <w:t xml:space="preserve"> del numeral 3.1.1.2.2 del anexo general de la </w:t>
      </w:r>
      <w:r w:rsidR="004D724E" w:rsidRPr="004D724E">
        <w:rPr>
          <w:lang w:val="es-MX"/>
        </w:rPr>
        <w:t xml:space="preserve">Resolución CREG 015 de 2018 </w:t>
      </w:r>
      <w:r w:rsidR="00D70D7E">
        <w:rPr>
          <w:lang w:val="es-MX"/>
        </w:rPr>
        <w:t>se debe utilizar el p</w:t>
      </w:r>
      <w:r w:rsidR="000727D0">
        <w:rPr>
          <w:lang w:val="es-MX"/>
        </w:rPr>
        <w:t>eríodo</w:t>
      </w:r>
      <w:r w:rsidR="00D70D7E">
        <w:rPr>
          <w:lang w:val="es-MX"/>
        </w:rPr>
        <w:t xml:space="preserve"> </w:t>
      </w:r>
      <w:r w:rsidR="00E87E8E">
        <w:rPr>
          <w:lang w:val="es-MX"/>
        </w:rPr>
        <w:t xml:space="preserve">que va desde el año en el que inicia el rango 2, definido aquí en el artículo </w:t>
      </w:r>
      <w:r w:rsidR="00E87E8E">
        <w:rPr>
          <w:lang w:val="es-MX"/>
        </w:rPr>
        <w:fldChar w:fldCharType="begin"/>
      </w:r>
      <w:r w:rsidR="00E87E8E">
        <w:rPr>
          <w:lang w:val="es-MX"/>
        </w:rPr>
        <w:instrText xml:space="preserve"> REF _Ref120807768 \r \h \t</w:instrText>
      </w:r>
      <w:r w:rsidR="00E87E8E">
        <w:rPr>
          <w:lang w:val="es-MX"/>
        </w:rPr>
      </w:r>
      <w:r w:rsidR="00E87E8E">
        <w:rPr>
          <w:lang w:val="es-MX"/>
        </w:rPr>
        <w:fldChar w:fldCharType="separate"/>
      </w:r>
      <w:r w:rsidR="00232342">
        <w:rPr>
          <w:lang w:val="es-MX"/>
        </w:rPr>
        <w:t>10</w:t>
      </w:r>
      <w:r w:rsidR="00E87E8E">
        <w:rPr>
          <w:lang w:val="es-MX"/>
        </w:rPr>
        <w:fldChar w:fldCharType="end"/>
      </w:r>
      <w:r w:rsidR="00E87E8E">
        <w:rPr>
          <w:lang w:val="es-MX"/>
        </w:rPr>
        <w:t>, hasta la fecha de corte</w:t>
      </w:r>
      <w:r w:rsidR="00960755">
        <w:rPr>
          <w:lang w:val="es-MX"/>
        </w:rPr>
        <w:t>.</w:t>
      </w:r>
    </w:p>
    <w:p w14:paraId="06D275DF" w14:textId="228E8DED" w:rsidR="00253A20" w:rsidRPr="00253A20" w:rsidRDefault="00253A20" w:rsidP="0078724E">
      <w:pPr>
        <w:pStyle w:val="Artculo"/>
        <w:spacing w:before="360" w:after="0"/>
        <w:ind w:left="0"/>
        <w:outlineLvl w:val="1"/>
        <w:rPr>
          <w:b w:val="0"/>
          <w:bCs/>
        </w:rPr>
      </w:pPr>
      <w:r w:rsidRPr="001F4850">
        <w:rPr>
          <w:bCs/>
        </w:rPr>
        <w:t>Planes de inversión.</w:t>
      </w:r>
      <w:r w:rsidRPr="001F4850">
        <w:t xml:space="preserve"> </w:t>
      </w:r>
      <w:r w:rsidRPr="00253A20">
        <w:rPr>
          <w:b w:val="0"/>
          <w:bCs/>
        </w:rPr>
        <w:t xml:space="preserve">Cuando en el capítulo 6 del anexo general de la </w:t>
      </w:r>
      <w:r w:rsidRPr="00253A20">
        <w:rPr>
          <w:b w:val="0"/>
          <w:bCs/>
          <w:lang w:val="es-MX"/>
        </w:rPr>
        <w:t xml:space="preserve">Resolución CREG 015 de 2018 </w:t>
      </w:r>
      <w:r w:rsidRPr="00253A20">
        <w:rPr>
          <w:b w:val="0"/>
          <w:bCs/>
        </w:rPr>
        <w:t>se hace referencia al p</w:t>
      </w:r>
      <w:r w:rsidR="003220E6">
        <w:rPr>
          <w:b w:val="0"/>
          <w:bCs/>
        </w:rPr>
        <w:t>eríodo</w:t>
      </w:r>
      <w:r w:rsidRPr="00253A20">
        <w:rPr>
          <w:b w:val="0"/>
          <w:bCs/>
        </w:rPr>
        <w:t xml:space="preserve"> 2019-2023, se debe entender que se hace referencia al p</w:t>
      </w:r>
      <w:r w:rsidR="003220E6">
        <w:rPr>
          <w:b w:val="0"/>
          <w:bCs/>
        </w:rPr>
        <w:t>eríodo</w:t>
      </w:r>
      <w:r w:rsidRPr="00253A20">
        <w:rPr>
          <w:b w:val="0"/>
          <w:bCs/>
        </w:rPr>
        <w:t xml:space="preserve"> de cinco años que inicia con el </w:t>
      </w:r>
      <w:r w:rsidRPr="00253A20">
        <w:rPr>
          <w:b w:val="0"/>
          <w:bCs/>
        </w:rPr>
        <w:lastRenderedPageBreak/>
        <w:t>año calendario siguiente al año de la presentación de la solicitud de aprobación de ingresos para el mercado que se conecta al SIN.</w:t>
      </w:r>
    </w:p>
    <w:p w14:paraId="675FB212" w14:textId="51E774C5" w:rsidR="00253A20" w:rsidRPr="00253A20" w:rsidRDefault="00253A20" w:rsidP="00253A20">
      <w:pPr>
        <w:rPr>
          <w:lang w:val="es-MX"/>
        </w:rPr>
      </w:pPr>
      <w:r>
        <w:t xml:space="preserve">Para aplicar el literal b) del numeral 6.2 del anexo general de la </w:t>
      </w:r>
      <w:r w:rsidRPr="001F4850">
        <w:rPr>
          <w:lang w:val="es-MX"/>
        </w:rPr>
        <w:t>Resolución CREG 015 de 2018</w:t>
      </w:r>
      <w:r w:rsidR="003220E6">
        <w:rPr>
          <w:lang w:val="es-MX"/>
        </w:rPr>
        <w:t>,</w:t>
      </w:r>
      <w:r w:rsidRPr="001F4850">
        <w:rPr>
          <w:lang w:val="es-MX"/>
        </w:rPr>
        <w:t xml:space="preserve"> </w:t>
      </w:r>
      <w:r>
        <w:rPr>
          <w:lang w:val="es-MX"/>
        </w:rPr>
        <w:t xml:space="preserve">se entenderá que allí se </w:t>
      </w:r>
      <w:r>
        <w:t>hace referencia al p</w:t>
      </w:r>
      <w:r w:rsidR="003220E6">
        <w:t>eríodo</w:t>
      </w:r>
      <w:r>
        <w:t xml:space="preserve"> de cuatro años que inicia con el segundo año calendario posterior al año de la presentación de la solicitud de aprobación de ingresos</w:t>
      </w:r>
      <w:r w:rsidR="003220E6">
        <w:t>,</w:t>
      </w:r>
      <w:r>
        <w:t xml:space="preserve"> y el plazo para presentar el plan de inversiones con la opción de este literal b) se vence el 1 de abril del año calendario siguiente al año de la presentación de la solicitud de aprobación de ingresos.</w:t>
      </w:r>
    </w:p>
    <w:p w14:paraId="516CBE34" w14:textId="4A001DDB" w:rsidR="00194598" w:rsidRDefault="0078724E" w:rsidP="0078724E">
      <w:pPr>
        <w:pStyle w:val="Artculo"/>
        <w:spacing w:before="360" w:after="0"/>
        <w:ind w:left="0"/>
        <w:outlineLvl w:val="1"/>
        <w:rPr>
          <w:b w:val="0"/>
          <w:bCs/>
        </w:rPr>
      </w:pPr>
      <w:r>
        <w:t xml:space="preserve">Sistema de gestión de activos. </w:t>
      </w:r>
      <w:r w:rsidR="007B272E">
        <w:rPr>
          <w:b w:val="0"/>
          <w:bCs/>
        </w:rPr>
        <w:t xml:space="preserve">Para una empresa que se traslada al SIN, el plazo para la implementación y certificación de un sistema de gestión de activos, definido en el numeral 6.3.3.4 del anexo general de la Resolución CREG 015 de 2018, es de cinco (5) años contados a partir de la </w:t>
      </w:r>
      <w:r w:rsidR="0034689D">
        <w:rPr>
          <w:b w:val="0"/>
          <w:bCs/>
        </w:rPr>
        <w:t>f</w:t>
      </w:r>
      <w:r w:rsidR="007B272E">
        <w:rPr>
          <w:b w:val="0"/>
          <w:bCs/>
        </w:rPr>
        <w:t xml:space="preserve">echa de corte </w:t>
      </w:r>
      <w:r w:rsidR="007B272E" w:rsidRPr="001628BD">
        <w:rPr>
          <w:b w:val="0"/>
          <w:bCs/>
        </w:rPr>
        <w:t xml:space="preserve">prevista en el artículo </w:t>
      </w:r>
      <w:r w:rsidR="009F440F" w:rsidRPr="001628BD">
        <w:rPr>
          <w:b w:val="0"/>
          <w:bCs/>
        </w:rPr>
        <w:fldChar w:fldCharType="begin"/>
      </w:r>
      <w:r w:rsidR="009F440F" w:rsidRPr="001628BD">
        <w:rPr>
          <w:b w:val="0"/>
          <w:bCs/>
        </w:rPr>
        <w:instrText xml:space="preserve"> REF _Ref122625734 \r \h </w:instrText>
      </w:r>
      <w:r w:rsidR="00132666" w:rsidRPr="001628BD">
        <w:rPr>
          <w:b w:val="0"/>
          <w:bCs/>
        </w:rPr>
        <w:instrText>\t</w:instrText>
      </w:r>
      <w:r w:rsidR="001628BD">
        <w:rPr>
          <w:b w:val="0"/>
          <w:bCs/>
        </w:rPr>
        <w:instrText xml:space="preserve"> \* MERGEFORMAT </w:instrText>
      </w:r>
      <w:r w:rsidR="009F440F" w:rsidRPr="001628BD">
        <w:rPr>
          <w:b w:val="0"/>
          <w:bCs/>
        </w:rPr>
      </w:r>
      <w:r w:rsidR="009F440F" w:rsidRPr="001628BD">
        <w:rPr>
          <w:b w:val="0"/>
          <w:bCs/>
        </w:rPr>
        <w:fldChar w:fldCharType="separate"/>
      </w:r>
      <w:r w:rsidR="00232342">
        <w:rPr>
          <w:b w:val="0"/>
          <w:bCs/>
        </w:rPr>
        <w:t>5</w:t>
      </w:r>
      <w:r w:rsidR="009F440F" w:rsidRPr="001628BD">
        <w:rPr>
          <w:b w:val="0"/>
          <w:bCs/>
        </w:rPr>
        <w:fldChar w:fldCharType="end"/>
      </w:r>
      <w:r w:rsidR="007B272E" w:rsidRPr="001628BD">
        <w:rPr>
          <w:b w:val="0"/>
          <w:bCs/>
        </w:rPr>
        <w:t xml:space="preserve"> de la presente resolución</w:t>
      </w:r>
      <w:r w:rsidRPr="001628BD">
        <w:rPr>
          <w:b w:val="0"/>
          <w:bCs/>
        </w:rPr>
        <w:t>.</w:t>
      </w:r>
      <w:r w:rsidR="00194598">
        <w:rPr>
          <w:b w:val="0"/>
          <w:bCs/>
        </w:rPr>
        <w:t xml:space="preserve"> </w:t>
      </w:r>
    </w:p>
    <w:p w14:paraId="18E3F9D1" w14:textId="3224406F" w:rsidR="0078724E" w:rsidRPr="00253A20" w:rsidRDefault="00194598" w:rsidP="00253A20">
      <w:pPr>
        <w:rPr>
          <w:lang w:val="es-MX"/>
        </w:rPr>
      </w:pPr>
      <w:r w:rsidRPr="00253A20">
        <w:rPr>
          <w:lang w:val="es-MX"/>
        </w:rPr>
        <w:t>Cuando se trate de un OR existente en el SIN, que conecta un mercado que atiende en una ZNI, le aplica el menor plazo entre el establecido aquí y el que tenga definido desde que está ejerciendo como OR del SIN.</w:t>
      </w:r>
    </w:p>
    <w:p w14:paraId="7CF3796D" w14:textId="6E0D1E1E" w:rsidR="0078724E" w:rsidRPr="006342C3" w:rsidRDefault="0078724E" w:rsidP="0078724E">
      <w:pPr>
        <w:pStyle w:val="Artculo"/>
        <w:spacing w:before="360" w:after="0"/>
        <w:ind w:left="0"/>
        <w:outlineLvl w:val="1"/>
        <w:rPr>
          <w:b w:val="0"/>
          <w:bCs/>
        </w:rPr>
      </w:pPr>
      <w:bookmarkStart w:id="5" w:name="_Ref70874276"/>
      <w:r w:rsidRPr="005A6026">
        <w:t xml:space="preserve">Información anterior a la fecha de corte. </w:t>
      </w:r>
      <w:r w:rsidRPr="006342C3">
        <w:rPr>
          <w:b w:val="0"/>
          <w:bCs/>
        </w:rPr>
        <w:t xml:space="preserve">Las empresas que se trasladan al SIN, al momento de presentar su solicitud, deberán </w:t>
      </w:r>
      <w:r w:rsidR="00313D29" w:rsidRPr="006342C3">
        <w:rPr>
          <w:b w:val="0"/>
          <w:bCs/>
        </w:rPr>
        <w:t xml:space="preserve">mostrar </w:t>
      </w:r>
      <w:r w:rsidRPr="006342C3">
        <w:rPr>
          <w:b w:val="0"/>
          <w:bCs/>
        </w:rPr>
        <w:t>que a esa fecha:</w:t>
      </w:r>
      <w:bookmarkEnd w:id="5"/>
    </w:p>
    <w:p w14:paraId="238634C6" w14:textId="43CD7F40" w:rsidR="0078724E" w:rsidRDefault="00EB3006" w:rsidP="00C15220">
      <w:pPr>
        <w:pStyle w:val="Prrafodelista"/>
        <w:numPr>
          <w:ilvl w:val="0"/>
          <w:numId w:val="8"/>
        </w:numPr>
        <w:spacing w:before="120" w:after="0"/>
        <w:ind w:left="714" w:hanging="357"/>
      </w:pPr>
      <w:r>
        <w:t>Han</w:t>
      </w:r>
      <w:r w:rsidR="0078724E">
        <w:t xml:space="preserve"> reportado </w:t>
      </w:r>
      <w:r w:rsidR="002B1E6E" w:rsidRPr="002B1E6E">
        <w:t>a la S</w:t>
      </w:r>
      <w:r w:rsidR="00CC2C6C">
        <w:t>SPD</w:t>
      </w:r>
      <w:r w:rsidR="002B1E6E" w:rsidRPr="002B1E6E">
        <w:t>, en los mecanismos definidos por esta entidad</w:t>
      </w:r>
      <w:r w:rsidR="001B7FFE" w:rsidRPr="001B7FFE">
        <w:t>, la información que permite</w:t>
      </w:r>
      <w:r w:rsidR="0078724E">
        <w:t xml:space="preserve"> determinar las ventas por nivel de tensión </w:t>
      </w:r>
      <w:r w:rsidR="00A01E16">
        <w:t xml:space="preserve">en el mercado que se conecta al SIN </w:t>
      </w:r>
      <w:r w:rsidR="00BB4D8C">
        <w:t>para cada</w:t>
      </w:r>
      <w:r w:rsidR="00B2493A">
        <w:t xml:space="preserve"> </w:t>
      </w:r>
      <w:r w:rsidR="00BB4D8C">
        <w:t>un</w:t>
      </w:r>
      <w:r w:rsidR="00B2493A">
        <w:t xml:space="preserve">o de los meses </w:t>
      </w:r>
      <w:r w:rsidR="0078724E">
        <w:t xml:space="preserve">del año que finaliza </w:t>
      </w:r>
      <w:r w:rsidR="003F052F">
        <w:t>en</w:t>
      </w:r>
      <w:r w:rsidR="0078724E">
        <w:t xml:space="preserve"> la </w:t>
      </w:r>
      <w:r w:rsidR="003F052F">
        <w:t>f</w:t>
      </w:r>
      <w:r w:rsidR="00B2493A">
        <w:t xml:space="preserve">echa </w:t>
      </w:r>
      <w:r w:rsidR="0078724E">
        <w:t>de corte</w:t>
      </w:r>
      <w:r w:rsidR="00B2493A">
        <w:t xml:space="preserve">. </w:t>
      </w:r>
      <w:r w:rsidR="0079025C">
        <w:t>Junto con la solicitud de aprobación de ingresos</w:t>
      </w:r>
      <w:r w:rsidR="00B44167">
        <w:t>,</w:t>
      </w:r>
      <w:r w:rsidR="0079025C">
        <w:t xml:space="preserve"> </w:t>
      </w:r>
      <w:r w:rsidR="004C028D">
        <w:t>entrega</w:t>
      </w:r>
      <w:r w:rsidR="00627966">
        <w:t>n</w:t>
      </w:r>
      <w:r w:rsidR="004C028D">
        <w:t xml:space="preserve"> la información que </w:t>
      </w:r>
      <w:r w:rsidR="006755EE">
        <w:t xml:space="preserve">permite </w:t>
      </w:r>
      <w:r w:rsidR="004C028D">
        <w:t>determ</w:t>
      </w:r>
      <w:r w:rsidR="0048571C">
        <w:t xml:space="preserve">inar </w:t>
      </w:r>
      <w:r w:rsidR="0078724E">
        <w:t>la energía de entrada al sistema</w:t>
      </w:r>
      <w:r w:rsidR="0048571C">
        <w:t xml:space="preserve"> en los mismos meses</w:t>
      </w:r>
      <w:r w:rsidR="0078724E">
        <w:t>.</w:t>
      </w:r>
      <w:r w:rsidR="006755EE">
        <w:t xml:space="preserve"> L</w:t>
      </w:r>
      <w:r w:rsidR="00413E99">
        <w:t>os datos de l</w:t>
      </w:r>
      <w:r w:rsidR="006755EE">
        <w:t>a energía tomada del SIN debe</w:t>
      </w:r>
      <w:r w:rsidR="00413E99">
        <w:t>n</w:t>
      </w:r>
      <w:r w:rsidR="006755EE">
        <w:t xml:space="preserve"> corresponder</w:t>
      </w:r>
      <w:r w:rsidR="00413E99">
        <w:t xml:space="preserve"> </w:t>
      </w:r>
      <w:r w:rsidR="006755EE">
        <w:t>con la</w:t>
      </w:r>
      <w:r w:rsidR="00413E99">
        <w:t xml:space="preserve">s lecturas de la </w:t>
      </w:r>
      <w:r w:rsidR="006755EE">
        <w:t xml:space="preserve">frontera </w:t>
      </w:r>
      <w:r w:rsidR="00C4038C">
        <w:t>de comercialización registrada con este propósito.</w:t>
      </w:r>
      <w:r w:rsidR="006755EE">
        <w:t xml:space="preserve"> </w:t>
      </w:r>
    </w:p>
    <w:p w14:paraId="6EA3523D" w14:textId="3D979A29" w:rsidR="0078724E" w:rsidRDefault="004179E1" w:rsidP="00C15220">
      <w:pPr>
        <w:pStyle w:val="Prrafodelista"/>
        <w:numPr>
          <w:ilvl w:val="0"/>
          <w:numId w:val="8"/>
        </w:numPr>
        <w:spacing w:before="120" w:after="0"/>
        <w:ind w:left="714" w:hanging="357"/>
      </w:pPr>
      <w:bookmarkStart w:id="6" w:name="_Ref70874273"/>
      <w:r>
        <w:t>Ha</w:t>
      </w:r>
      <w:r w:rsidR="007976C0">
        <w:t>n</w:t>
      </w:r>
      <w:r w:rsidR="0078724E">
        <w:t xml:space="preserve"> diligenciado </w:t>
      </w:r>
      <w:r w:rsidR="00313D29">
        <w:t xml:space="preserve">y enviado a la SSPD </w:t>
      </w:r>
      <w:r w:rsidR="00B5679C">
        <w:t xml:space="preserve">el </w:t>
      </w:r>
      <w:r w:rsidR="0078724E">
        <w:t>formato</w:t>
      </w:r>
      <w:r w:rsidR="00B5679C">
        <w:t xml:space="preserve"> publicado con la Circular CREG 011 de 2017</w:t>
      </w:r>
      <w:r w:rsidR="0078724E">
        <w:t xml:space="preserve"> para la recolección anual de la información de AOM, relacionada con la actividad de distribución</w:t>
      </w:r>
      <w:r w:rsidR="00A01E16">
        <w:t xml:space="preserve"> en el mercado que se conecta al SIN</w:t>
      </w:r>
      <w:r w:rsidR="0078724E">
        <w:t xml:space="preserve">, correspondiente al año que finaliza </w:t>
      </w:r>
      <w:r w:rsidR="00784C67">
        <w:t>en</w:t>
      </w:r>
      <w:r w:rsidR="0078724E">
        <w:t xml:space="preserve"> la fecha de corte y la de los dos años anteriores a este.</w:t>
      </w:r>
      <w:bookmarkEnd w:id="6"/>
      <w:r w:rsidR="00B5679C">
        <w:t xml:space="preserve"> De ese formato se diligencia solo la hoja “Distribución” y</w:t>
      </w:r>
      <w:r w:rsidR="00313D29">
        <w:t>, además, se</w:t>
      </w:r>
      <w:r w:rsidR="00B5679C">
        <w:t xml:space="preserve"> </w:t>
      </w:r>
      <w:r w:rsidR="00313D29">
        <w:t xml:space="preserve">debe </w:t>
      </w:r>
      <w:r w:rsidR="00B5679C">
        <w:t xml:space="preserve">entregar el informe del auditor </w:t>
      </w:r>
      <w:r w:rsidR="00313D29">
        <w:t>contratado de acuerdo con lo previsto en el artículo 2 de la Resolución CREG 051 de 2010</w:t>
      </w:r>
      <w:r w:rsidR="00334EF8">
        <w:t>, sin tener en cuenta el</w:t>
      </w:r>
      <w:r w:rsidR="0009674F">
        <w:t xml:space="preserve"> plazo previsto en</w:t>
      </w:r>
      <w:r w:rsidR="00F52B93">
        <w:t xml:space="preserve"> el artíc</w:t>
      </w:r>
      <w:r w:rsidR="005360DE">
        <w:t>ulo 3</w:t>
      </w:r>
      <w:r w:rsidR="0009674F">
        <w:t xml:space="preserve"> </w:t>
      </w:r>
      <w:r w:rsidR="00334EF8">
        <w:t>de la misma resolución.</w:t>
      </w:r>
    </w:p>
    <w:p w14:paraId="357F59E0" w14:textId="3DB004E6" w:rsidR="0078724E" w:rsidRPr="00DB05DD" w:rsidRDefault="0078724E" w:rsidP="0078724E">
      <w:pPr>
        <w:pStyle w:val="Artculo"/>
        <w:spacing w:before="360" w:after="0"/>
        <w:ind w:left="0"/>
        <w:outlineLvl w:val="1"/>
        <w:rPr>
          <w:b w:val="0"/>
          <w:bCs/>
        </w:rPr>
      </w:pPr>
      <w:bookmarkStart w:id="7" w:name="_Ref70873792"/>
      <w:r>
        <w:t>B</w:t>
      </w:r>
      <w:r w:rsidRPr="00062B07">
        <w:t xml:space="preserve">ase </w:t>
      </w:r>
      <w:r w:rsidR="00E07D8F" w:rsidRPr="004E6CFC">
        <w:t>regulatoria de activos eléctricos</w:t>
      </w:r>
      <w:r w:rsidRPr="00062B07">
        <w:t>.</w:t>
      </w:r>
      <w:r>
        <w:t xml:space="preserve"> </w:t>
      </w:r>
      <w:r w:rsidRPr="00DB05DD">
        <w:rPr>
          <w:b w:val="0"/>
          <w:bCs/>
        </w:rPr>
        <w:t xml:space="preserve">La base regulatoria de activos </w:t>
      </w:r>
      <w:r w:rsidR="00E559E6" w:rsidRPr="00E559E6">
        <w:rPr>
          <w:b w:val="0"/>
          <w:bCs/>
        </w:rPr>
        <w:t xml:space="preserve">eléctricos </w:t>
      </w:r>
      <w:r w:rsidR="00403C23">
        <w:rPr>
          <w:b w:val="0"/>
          <w:bCs/>
        </w:rPr>
        <w:t>a la fecha de corte</w:t>
      </w:r>
      <w:r w:rsidR="004E65E4">
        <w:rPr>
          <w:b w:val="0"/>
          <w:bCs/>
        </w:rPr>
        <w:t xml:space="preserve">, </w:t>
      </w:r>
      <w:r w:rsidR="004E65E4" w:rsidRPr="004E65E4">
        <w:rPr>
          <w:b w:val="0"/>
          <w:bCs/>
          <w:i/>
          <w:iCs/>
        </w:rPr>
        <w:t>BRAE</w:t>
      </w:r>
      <w:r w:rsidR="004E65E4" w:rsidRPr="004E65E4">
        <w:rPr>
          <w:b w:val="0"/>
          <w:bCs/>
          <w:i/>
          <w:iCs/>
          <w:vertAlign w:val="subscript"/>
        </w:rPr>
        <w:t>j,n,0</w:t>
      </w:r>
      <w:r w:rsidR="004E65E4">
        <w:rPr>
          <w:b w:val="0"/>
          <w:bCs/>
        </w:rPr>
        <w:t>,</w:t>
      </w:r>
      <w:r w:rsidR="00403C23">
        <w:rPr>
          <w:b w:val="0"/>
          <w:bCs/>
        </w:rPr>
        <w:t xml:space="preserve"> </w:t>
      </w:r>
      <w:r w:rsidR="001D3B73" w:rsidRPr="00DB05DD">
        <w:rPr>
          <w:b w:val="0"/>
          <w:bCs/>
        </w:rPr>
        <w:t>de las empresas que se trasladan al SIN</w:t>
      </w:r>
      <w:r w:rsidR="00194598">
        <w:rPr>
          <w:b w:val="0"/>
          <w:bCs/>
        </w:rPr>
        <w:t>,</w:t>
      </w:r>
      <w:r w:rsidR="004325DC">
        <w:rPr>
          <w:b w:val="0"/>
          <w:bCs/>
        </w:rPr>
        <w:t xml:space="preserve"> para el mercado que se interconecta</w:t>
      </w:r>
      <w:r w:rsidR="003E6DDC">
        <w:rPr>
          <w:b w:val="0"/>
          <w:bCs/>
        </w:rPr>
        <w:t>,</w:t>
      </w:r>
      <w:r w:rsidR="001D3B73" w:rsidRPr="00E559E6">
        <w:rPr>
          <w:b w:val="0"/>
          <w:bCs/>
        </w:rPr>
        <w:t xml:space="preserve"> </w:t>
      </w:r>
      <w:r w:rsidR="00E559E6" w:rsidRPr="00E559E6">
        <w:rPr>
          <w:b w:val="0"/>
          <w:bCs/>
        </w:rPr>
        <w:t xml:space="preserve">se determina </w:t>
      </w:r>
      <w:r w:rsidR="000307B3">
        <w:rPr>
          <w:b w:val="0"/>
          <w:bCs/>
        </w:rPr>
        <w:t xml:space="preserve">de acuerdo con lo previsto </w:t>
      </w:r>
      <w:r w:rsidR="000307B3" w:rsidRPr="000307B3">
        <w:rPr>
          <w:b w:val="0"/>
          <w:bCs/>
        </w:rPr>
        <w:t>en el numeral 3.1.1.1 de</w:t>
      </w:r>
      <w:r w:rsidR="0032441B">
        <w:rPr>
          <w:b w:val="0"/>
          <w:bCs/>
        </w:rPr>
        <w:t xml:space="preserve">l anexo </w:t>
      </w:r>
      <w:r w:rsidR="00293BC1">
        <w:rPr>
          <w:b w:val="0"/>
          <w:bCs/>
        </w:rPr>
        <w:t xml:space="preserve">general </w:t>
      </w:r>
      <w:r w:rsidR="0032441B">
        <w:rPr>
          <w:b w:val="0"/>
          <w:bCs/>
        </w:rPr>
        <w:t>de</w:t>
      </w:r>
      <w:r w:rsidR="000307B3" w:rsidRPr="000307B3">
        <w:rPr>
          <w:b w:val="0"/>
          <w:bCs/>
        </w:rPr>
        <w:t xml:space="preserve"> la Resolución CREG 015 de 2018, o aquella que la modifique</w:t>
      </w:r>
      <w:r w:rsidR="001B7FFE">
        <w:rPr>
          <w:b w:val="0"/>
          <w:bCs/>
        </w:rPr>
        <w:t>, adicione</w:t>
      </w:r>
      <w:r w:rsidR="000307B3" w:rsidRPr="000307B3">
        <w:rPr>
          <w:b w:val="0"/>
          <w:bCs/>
        </w:rPr>
        <w:t xml:space="preserve"> o sustituya, </w:t>
      </w:r>
      <w:r w:rsidR="00983BA3">
        <w:rPr>
          <w:b w:val="0"/>
          <w:bCs/>
        </w:rPr>
        <w:t xml:space="preserve">y </w:t>
      </w:r>
      <w:r w:rsidR="001227A8">
        <w:rPr>
          <w:b w:val="0"/>
          <w:bCs/>
        </w:rPr>
        <w:t>teniendo</w:t>
      </w:r>
      <w:r w:rsidR="00983BA3">
        <w:rPr>
          <w:b w:val="0"/>
          <w:bCs/>
        </w:rPr>
        <w:t xml:space="preserve"> en cuenta </w:t>
      </w:r>
      <w:r w:rsidR="001227A8">
        <w:rPr>
          <w:b w:val="0"/>
          <w:bCs/>
        </w:rPr>
        <w:t>lo siguiente:</w:t>
      </w:r>
      <w:bookmarkEnd w:id="7"/>
    </w:p>
    <w:p w14:paraId="3DFDBF6E" w14:textId="64B94657" w:rsidR="001227A8" w:rsidRPr="0099307C" w:rsidRDefault="001227A8" w:rsidP="00913841">
      <w:pPr>
        <w:pStyle w:val="Prrafodelista"/>
        <w:numPr>
          <w:ilvl w:val="0"/>
          <w:numId w:val="22"/>
        </w:numPr>
        <w:spacing w:before="120" w:after="0"/>
      </w:pPr>
      <w:r w:rsidRPr="00B967C9">
        <w:rPr>
          <w:bCs/>
        </w:rPr>
        <w:lastRenderedPageBreak/>
        <w:t xml:space="preserve">el inventario de activos que reporte la empresa a la fecha de corte con base </w:t>
      </w:r>
      <w:r w:rsidRPr="00051510">
        <w:rPr>
          <w:bCs/>
        </w:rPr>
        <w:t>en las unidades constructivas del capítulo 15 de la Resolución CREG 015</w:t>
      </w:r>
      <w:r w:rsidRPr="00B967C9">
        <w:rPr>
          <w:bCs/>
        </w:rPr>
        <w:t xml:space="preserve"> de 2018 y sus modificaciones</w:t>
      </w:r>
      <w:r w:rsidR="00F54C48">
        <w:rPr>
          <w:bCs/>
        </w:rPr>
        <w:t>, en do</w:t>
      </w:r>
      <w:r w:rsidR="0099307C">
        <w:rPr>
          <w:bCs/>
        </w:rPr>
        <w:t>n</w:t>
      </w:r>
      <w:r w:rsidR="00F54C48">
        <w:rPr>
          <w:bCs/>
        </w:rPr>
        <w:t>de se debe identificar el año de entrada en operación de cada activo reportado</w:t>
      </w:r>
      <w:r w:rsidR="0099307C">
        <w:rPr>
          <w:bCs/>
        </w:rPr>
        <w:t>;</w:t>
      </w:r>
    </w:p>
    <w:p w14:paraId="71A7BBA4" w14:textId="6368D09D" w:rsidR="0078724E" w:rsidRDefault="0078724E" w:rsidP="00913841">
      <w:pPr>
        <w:pStyle w:val="Prrafodelista"/>
        <w:numPr>
          <w:ilvl w:val="0"/>
          <w:numId w:val="22"/>
        </w:numPr>
        <w:spacing w:before="120" w:after="0"/>
      </w:pPr>
      <w:r>
        <w:t>la solicitud de aprobación de ingresos debe</w:t>
      </w:r>
      <w:r w:rsidR="00020902">
        <w:t xml:space="preserve"> tener </w:t>
      </w:r>
      <w:r>
        <w:t>adjunt</w:t>
      </w:r>
      <w:r w:rsidR="00020902">
        <w:t>os</w:t>
      </w:r>
      <w:r>
        <w:t xml:space="preserve"> los formatos de</w:t>
      </w:r>
      <w:r w:rsidR="00535F6F">
        <w:t xml:space="preserve"> </w:t>
      </w:r>
      <w:r>
        <w:t>l</w:t>
      </w:r>
      <w:r w:rsidR="00535F6F">
        <w:t>as</w:t>
      </w:r>
      <w:r>
        <w:t xml:space="preserve"> circular</w:t>
      </w:r>
      <w:r w:rsidR="00535F6F">
        <w:t>es</w:t>
      </w:r>
      <w:r>
        <w:t xml:space="preserve"> CREG </w:t>
      </w:r>
      <w:r w:rsidR="00CC13F8">
        <w:t>029 y 051 de 2018</w:t>
      </w:r>
      <w:r w:rsidRPr="00D46C28">
        <w:t xml:space="preserve"> </w:t>
      </w:r>
      <w:r>
        <w:t>diligenciados</w:t>
      </w:r>
      <w:r w:rsidR="00535F6F">
        <w:t>;</w:t>
      </w:r>
    </w:p>
    <w:p w14:paraId="4BF1B61F" w14:textId="1F48224D" w:rsidR="003D0878" w:rsidRPr="003D0878" w:rsidRDefault="003F699A" w:rsidP="00913841">
      <w:pPr>
        <w:pStyle w:val="Prrafodelista"/>
        <w:numPr>
          <w:ilvl w:val="0"/>
          <w:numId w:val="22"/>
        </w:numPr>
        <w:spacing w:before="120" w:after="0"/>
      </w:pPr>
      <w:r>
        <w:t>la</w:t>
      </w:r>
      <w:r w:rsidR="00507CA9">
        <w:t>s</w:t>
      </w:r>
      <w:r>
        <w:t xml:space="preserve"> variable</w:t>
      </w:r>
      <w:r w:rsidR="00507CA9">
        <w:t>s</w:t>
      </w:r>
      <w:r>
        <w:t xml:space="preserve"> </w:t>
      </w:r>
      <w:proofErr w:type="spellStart"/>
      <w:r w:rsidRPr="004E6CFC">
        <w:rPr>
          <w:i/>
          <w:iCs/>
        </w:rPr>
        <w:t>CRII</w:t>
      </w:r>
      <w:r w:rsidRPr="004E6CFC">
        <w:rPr>
          <w:i/>
          <w:iCs/>
          <w:vertAlign w:val="subscript"/>
        </w:rPr>
        <w:t>j,n,l</w:t>
      </w:r>
      <w:proofErr w:type="spellEnd"/>
      <w:r w:rsidR="008E7CCE">
        <w:t>,</w:t>
      </w:r>
      <w:r>
        <w:t xml:space="preserve"> definida</w:t>
      </w:r>
      <w:r w:rsidR="00507CA9">
        <w:t>s</w:t>
      </w:r>
      <w:r>
        <w:t xml:space="preserve"> en el numeral 3.1.1.1.1</w:t>
      </w:r>
      <w:r w:rsidR="007E2B27">
        <w:t xml:space="preserve"> </w:t>
      </w:r>
      <w:r w:rsidR="008E7CCE">
        <w:t xml:space="preserve">de la </w:t>
      </w:r>
      <w:r w:rsidR="006A0154" w:rsidRPr="00FA120D">
        <w:t>Resolución CREG 015 de 2018</w:t>
      </w:r>
      <w:r w:rsidR="00FA120D" w:rsidRPr="00FA120D">
        <w:t>,</w:t>
      </w:r>
      <w:r w:rsidR="00FA120D">
        <w:rPr>
          <w:rFonts w:ascii="Arial" w:hAnsi="Arial" w:cs="Arial"/>
        </w:rPr>
        <w:t xml:space="preserve"> </w:t>
      </w:r>
      <w:r w:rsidR="00D00E37" w:rsidRPr="00D00E37">
        <w:t>toma</w:t>
      </w:r>
      <w:r w:rsidR="00D00E37">
        <w:t>rá</w:t>
      </w:r>
      <w:r w:rsidR="00507CA9">
        <w:t>n</w:t>
      </w:r>
      <w:r w:rsidR="00D00E37" w:rsidRPr="00D00E37">
        <w:t xml:space="preserve"> </w:t>
      </w:r>
      <w:r w:rsidR="00663D58">
        <w:t>un valor igual al</w:t>
      </w:r>
      <w:r w:rsidR="00D00E37">
        <w:t xml:space="preserve"> de la</w:t>
      </w:r>
      <w:r w:rsidR="00E64FC8">
        <w:t>s</w:t>
      </w:r>
      <w:r w:rsidR="00D00E37">
        <w:t xml:space="preserve"> variable</w:t>
      </w:r>
      <w:r w:rsidR="00E64FC8">
        <w:t>s</w:t>
      </w:r>
      <w:r w:rsidR="00D00E37">
        <w:t xml:space="preserve"> </w:t>
      </w:r>
      <w:proofErr w:type="spellStart"/>
      <w:r w:rsidR="00E64FC8" w:rsidRPr="004E6CFC">
        <w:rPr>
          <w:i/>
          <w:iCs/>
        </w:rPr>
        <w:t>CRI</w:t>
      </w:r>
      <w:r w:rsidR="00E64FC8" w:rsidRPr="004E6CFC">
        <w:rPr>
          <w:i/>
          <w:iCs/>
          <w:vertAlign w:val="subscript"/>
        </w:rPr>
        <w:t>j,n,l</w:t>
      </w:r>
      <w:proofErr w:type="spellEnd"/>
      <w:r w:rsidR="00E64FC8">
        <w:t>, definidas en el numeral 3.1.1.1.1</w:t>
      </w:r>
      <w:r w:rsidR="00CC0629">
        <w:t>.6</w:t>
      </w:r>
      <w:r w:rsidR="00E64FC8">
        <w:t xml:space="preserve"> de la </w:t>
      </w:r>
      <w:r w:rsidR="00E64FC8" w:rsidRPr="00FA120D">
        <w:t>Resolución CREG 015 de 2018,</w:t>
      </w:r>
      <w:r w:rsidR="00D00E37">
        <w:rPr>
          <w:rFonts w:ascii="Arial" w:hAnsi="Arial" w:cs="Arial"/>
        </w:rPr>
        <w:t xml:space="preserve"> </w:t>
      </w:r>
      <w:r w:rsidR="0023329A" w:rsidRPr="003509F9">
        <w:rPr>
          <w:rFonts w:cs="Arial"/>
        </w:rPr>
        <w:t xml:space="preserve">calculadas </w:t>
      </w:r>
      <w:r w:rsidR="00F711E5">
        <w:rPr>
          <w:rFonts w:cs="Arial"/>
        </w:rPr>
        <w:t>para</w:t>
      </w:r>
      <w:r w:rsidR="003D0878">
        <w:rPr>
          <w:rFonts w:cs="Arial"/>
        </w:rPr>
        <w:t xml:space="preserve"> </w:t>
      </w:r>
      <w:r w:rsidR="0023329A" w:rsidRPr="003509F9">
        <w:rPr>
          <w:rFonts w:cs="Arial"/>
        </w:rPr>
        <w:t xml:space="preserve">los activos </w:t>
      </w:r>
      <w:r w:rsidR="003509F9">
        <w:rPr>
          <w:rFonts w:cs="Arial"/>
        </w:rPr>
        <w:t>que pertenecen a</w:t>
      </w:r>
      <w:r w:rsidR="0023329A" w:rsidRPr="003509F9">
        <w:rPr>
          <w:rFonts w:cs="Arial"/>
        </w:rPr>
        <w:t>l rango</w:t>
      </w:r>
      <w:r w:rsidR="003509F9">
        <w:rPr>
          <w:rFonts w:cs="Arial"/>
        </w:rPr>
        <w:t xml:space="preserve"> 1</w:t>
      </w:r>
      <w:r w:rsidR="003D0878">
        <w:rPr>
          <w:rFonts w:cs="Arial"/>
        </w:rPr>
        <w:t>;</w:t>
      </w:r>
    </w:p>
    <w:p w14:paraId="2594A625" w14:textId="2C6028ED" w:rsidR="00342298" w:rsidRPr="00342298" w:rsidRDefault="0027758F" w:rsidP="00913841">
      <w:pPr>
        <w:pStyle w:val="Prrafodelista"/>
        <w:numPr>
          <w:ilvl w:val="0"/>
          <w:numId w:val="22"/>
        </w:numPr>
        <w:spacing w:before="120" w:after="0"/>
      </w:pPr>
      <w:bookmarkStart w:id="8" w:name="_Ref110359979"/>
      <w:r>
        <w:rPr>
          <w:rFonts w:cs="Arial"/>
        </w:rPr>
        <w:t xml:space="preserve">las variables </w:t>
      </w:r>
      <w:proofErr w:type="spellStart"/>
      <w:r w:rsidRPr="1D8F56DF">
        <w:rPr>
          <w:i/>
          <w:iCs/>
        </w:rPr>
        <w:t>CMTD</w:t>
      </w:r>
      <w:r w:rsidRPr="1D8F56DF">
        <w:rPr>
          <w:i/>
          <w:iCs/>
          <w:vertAlign w:val="subscript"/>
        </w:rPr>
        <w:t>j</w:t>
      </w:r>
      <w:proofErr w:type="spellEnd"/>
      <w:r w:rsidR="00987A14">
        <w:t xml:space="preserve"> y</w:t>
      </w:r>
      <w:r>
        <w:t xml:space="preserve"> </w:t>
      </w:r>
      <w:proofErr w:type="spellStart"/>
      <w:r w:rsidR="00987A14" w:rsidRPr="1D8F56DF">
        <w:rPr>
          <w:i/>
          <w:iCs/>
        </w:rPr>
        <w:t>CMRD</w:t>
      </w:r>
      <w:r w:rsidR="00987A14" w:rsidRPr="1D8F56DF">
        <w:rPr>
          <w:i/>
          <w:iCs/>
          <w:vertAlign w:val="subscript"/>
        </w:rPr>
        <w:t>j</w:t>
      </w:r>
      <w:proofErr w:type="spellEnd"/>
      <w:r w:rsidR="00987A14">
        <w:t xml:space="preserve">, </w:t>
      </w:r>
      <w:r w:rsidR="006359B2">
        <w:t>definida</w:t>
      </w:r>
      <w:r w:rsidR="00987A14">
        <w:t>s</w:t>
      </w:r>
      <w:r w:rsidR="006359B2">
        <w:t xml:space="preserve"> en el literal b. del numeral 3.1.1.1.1.6 de la </w:t>
      </w:r>
      <w:r w:rsidR="006359B2" w:rsidRPr="00FA120D">
        <w:t>Resolución CREG 015 de 2018,</w:t>
      </w:r>
      <w:r w:rsidR="006359B2">
        <w:t xml:space="preserve"> </w:t>
      </w:r>
      <w:r w:rsidR="005F46BC">
        <w:t>tom</w:t>
      </w:r>
      <w:r w:rsidR="006359B2">
        <w:t>arán los valores</w:t>
      </w:r>
      <w:r w:rsidR="005466F0">
        <w:t xml:space="preserve"> de </w:t>
      </w:r>
      <w:r w:rsidR="006359B2">
        <w:t>$6.610.000 y $11.912.000</w:t>
      </w:r>
      <w:r w:rsidR="002C4099">
        <w:t>,</w:t>
      </w:r>
      <w:r w:rsidR="006359B2">
        <w:t xml:space="preserve"> </w:t>
      </w:r>
      <w:r w:rsidR="002C4099">
        <w:t>respectivamente</w:t>
      </w:r>
      <w:r w:rsidR="006359B2">
        <w:t>, ambos expresados en pesos de diciembre de 2007</w:t>
      </w:r>
      <w:r w:rsidR="000E0E1A">
        <w:t>;</w:t>
      </w:r>
    </w:p>
    <w:p w14:paraId="34624315" w14:textId="016485FF" w:rsidR="00315CBB" w:rsidRDefault="004B7016" w:rsidP="00913841">
      <w:pPr>
        <w:pStyle w:val="Prrafodelista"/>
        <w:numPr>
          <w:ilvl w:val="0"/>
          <w:numId w:val="22"/>
        </w:numPr>
        <w:spacing w:before="120" w:after="0"/>
      </w:pPr>
      <w:r>
        <w:rPr>
          <w:rFonts w:cs="Arial"/>
        </w:rPr>
        <w:t xml:space="preserve">para el cálculo de la variable </w:t>
      </w:r>
      <w:r w:rsidRPr="004E6CFC">
        <w:rPr>
          <w:i/>
          <w:iCs/>
        </w:rPr>
        <w:t>CRI</w:t>
      </w:r>
      <w:r w:rsidRPr="004E6CFC">
        <w:rPr>
          <w:i/>
          <w:iCs/>
          <w:vertAlign w:val="subscript"/>
        </w:rPr>
        <w:t>j,</w:t>
      </w:r>
      <w:r>
        <w:rPr>
          <w:i/>
          <w:iCs/>
          <w:vertAlign w:val="subscript"/>
        </w:rPr>
        <w:t>1</w:t>
      </w:r>
      <w:r w:rsidRPr="004E6CFC">
        <w:rPr>
          <w:i/>
          <w:iCs/>
          <w:vertAlign w:val="subscript"/>
        </w:rPr>
        <w:t>,l</w:t>
      </w:r>
      <w:r>
        <w:t xml:space="preserve">, definida en </w:t>
      </w:r>
      <w:r w:rsidR="00762A05">
        <w:t>el literal b</w:t>
      </w:r>
      <w:r w:rsidR="00A34ABE">
        <w:t>. d</w:t>
      </w:r>
      <w:r>
        <w:t xml:space="preserve">el numeral 3.1.1.1.1.6 de la </w:t>
      </w:r>
      <w:r w:rsidRPr="00FA120D">
        <w:t>Resolución CREG 015 de 2018,</w:t>
      </w:r>
      <w:r w:rsidR="004079CD">
        <w:t xml:space="preserve"> </w:t>
      </w:r>
      <w:r w:rsidR="006D1D6F">
        <w:t>las vari</w:t>
      </w:r>
      <w:r w:rsidR="009C6CF7">
        <w:t>a</w:t>
      </w:r>
      <w:r w:rsidR="006D1D6F">
        <w:t>bles</w:t>
      </w:r>
      <w:r w:rsidR="00DA2F2C">
        <w:t xml:space="preserve"> </w:t>
      </w:r>
      <w:r w:rsidR="00DA2F2C" w:rsidRPr="002A1871">
        <w:rPr>
          <w:i/>
          <w:iCs/>
        </w:rPr>
        <w:t>NT</w:t>
      </w:r>
      <w:r w:rsidR="00DA2F2C" w:rsidRPr="002A1871">
        <w:rPr>
          <w:i/>
          <w:iCs/>
          <w:vertAlign w:val="subscript"/>
        </w:rPr>
        <w:t>j,1,l</w:t>
      </w:r>
      <w:r w:rsidR="00DA2F2C">
        <w:t xml:space="preserve">  y </w:t>
      </w:r>
      <w:r w:rsidR="00DA2F2C" w:rsidRPr="002A1871">
        <w:rPr>
          <w:i/>
          <w:iCs/>
        </w:rPr>
        <w:t>NR</w:t>
      </w:r>
      <w:r w:rsidR="00DA2F2C" w:rsidRPr="002A1871">
        <w:rPr>
          <w:i/>
          <w:iCs/>
          <w:vertAlign w:val="subscript"/>
        </w:rPr>
        <w:t>j,1,l</w:t>
      </w:r>
      <w:r w:rsidR="00DA2F2C">
        <w:t xml:space="preserve"> </w:t>
      </w:r>
      <w:r w:rsidR="009C6CF7">
        <w:t>c</w:t>
      </w:r>
      <w:r w:rsidR="00DA2F2C">
        <w:t>orresponden a la cantidad de transformadores de distribución y la cantidad de redes de distribución en el nivel de tensión 1 para los activos que pertenecen al rango 1</w:t>
      </w:r>
      <w:r w:rsidR="00315CBB">
        <w:t>;</w:t>
      </w:r>
      <w:bookmarkEnd w:id="8"/>
    </w:p>
    <w:p w14:paraId="38017A07" w14:textId="77777777" w:rsidR="003173C1" w:rsidRPr="00FF34D4" w:rsidRDefault="00315CBB" w:rsidP="00913841">
      <w:pPr>
        <w:pStyle w:val="Prrafodelista"/>
        <w:numPr>
          <w:ilvl w:val="0"/>
          <w:numId w:val="22"/>
        </w:numPr>
        <w:spacing w:before="120" w:after="0"/>
      </w:pPr>
      <w:r w:rsidRPr="00FF34D4">
        <w:t>no se calcularán las variables definidas en los numerales 3.1.1.1.1.</w:t>
      </w:r>
      <w:r w:rsidR="000901A4" w:rsidRPr="00FF34D4">
        <w:t>7 y 3.1.1.1.</w:t>
      </w:r>
      <w:r w:rsidR="001A0611" w:rsidRPr="00FF34D4">
        <w:t>1.</w:t>
      </w:r>
      <w:r w:rsidR="000901A4" w:rsidRPr="00FF34D4">
        <w:t>8</w:t>
      </w:r>
      <w:r w:rsidRPr="00FF34D4">
        <w:t xml:space="preserve"> de la Resolución CREG 015 de 2018</w:t>
      </w:r>
      <w:r w:rsidR="003173C1" w:rsidRPr="00FF34D4">
        <w:t>;</w:t>
      </w:r>
    </w:p>
    <w:p w14:paraId="412DF984" w14:textId="144A4218" w:rsidR="0078724E" w:rsidRDefault="00FF34D4" w:rsidP="00913841">
      <w:pPr>
        <w:pStyle w:val="Prrafodelista"/>
        <w:numPr>
          <w:ilvl w:val="0"/>
          <w:numId w:val="22"/>
        </w:numPr>
        <w:spacing w:before="120" w:after="0"/>
      </w:pPr>
      <w:r w:rsidRPr="00FF34D4">
        <w:rPr>
          <w:rFonts w:cs="Arial"/>
        </w:rPr>
        <w:t>para el cálculo</w:t>
      </w:r>
      <w:r w:rsidR="00315CBB" w:rsidRPr="00FF34D4">
        <w:rPr>
          <w:rFonts w:cs="Arial"/>
        </w:rPr>
        <w:t xml:space="preserve"> </w:t>
      </w:r>
      <w:r>
        <w:rPr>
          <w:rFonts w:cs="Arial"/>
        </w:rPr>
        <w:t>de la</w:t>
      </w:r>
      <w:r w:rsidR="00AC5718">
        <w:rPr>
          <w:rFonts w:cs="Arial"/>
        </w:rPr>
        <w:t>s</w:t>
      </w:r>
      <w:r>
        <w:rPr>
          <w:rFonts w:cs="Arial"/>
        </w:rPr>
        <w:t xml:space="preserve"> variable</w:t>
      </w:r>
      <w:r w:rsidR="00AC5718">
        <w:rPr>
          <w:rFonts w:cs="Arial"/>
        </w:rPr>
        <w:t>s</w:t>
      </w:r>
      <w:r>
        <w:rPr>
          <w:rFonts w:cs="Arial"/>
        </w:rPr>
        <w:t xml:space="preserve"> </w:t>
      </w:r>
      <w:proofErr w:type="spellStart"/>
      <w:proofErr w:type="gramStart"/>
      <w:r w:rsidR="00F80064" w:rsidRPr="004E6CFC">
        <w:rPr>
          <w:i/>
          <w:iCs/>
        </w:rPr>
        <w:t>CRIN</w:t>
      </w:r>
      <w:r w:rsidR="00F80064" w:rsidRPr="004E6CFC">
        <w:rPr>
          <w:i/>
          <w:iCs/>
          <w:vertAlign w:val="subscript"/>
        </w:rPr>
        <w:t>j,n</w:t>
      </w:r>
      <w:proofErr w:type="gramEnd"/>
      <w:r w:rsidR="00F80064" w:rsidRPr="004E6CFC">
        <w:rPr>
          <w:i/>
          <w:iCs/>
          <w:vertAlign w:val="subscript"/>
        </w:rPr>
        <w:t>,l</w:t>
      </w:r>
      <w:proofErr w:type="spellEnd"/>
      <w:r w:rsidR="00F80064">
        <w:t xml:space="preserve">, definidas en el numeral </w:t>
      </w:r>
      <w:r w:rsidR="00F80064" w:rsidRPr="00FF34D4">
        <w:t>3.1.1.1.</w:t>
      </w:r>
      <w:r w:rsidR="00311799">
        <w:t>4</w:t>
      </w:r>
      <w:r w:rsidR="00F80064" w:rsidRPr="00FF34D4">
        <w:t xml:space="preserve"> de la Resolución CREG 015 de 2018</w:t>
      </w:r>
      <w:r w:rsidR="00311799">
        <w:t xml:space="preserve">, se utilizarán los activos </w:t>
      </w:r>
      <w:r w:rsidR="00FA5F46">
        <w:t xml:space="preserve">que </w:t>
      </w:r>
      <w:r w:rsidR="00A473EE">
        <w:t>e</w:t>
      </w:r>
      <w:r w:rsidR="00FA5F46">
        <w:t>ntr</w:t>
      </w:r>
      <w:r w:rsidR="00A473EE">
        <w:t>a</w:t>
      </w:r>
      <w:r w:rsidR="00FA5F46">
        <w:t>ron en operación des</w:t>
      </w:r>
      <w:r w:rsidR="00C56FFA">
        <w:t>de</w:t>
      </w:r>
      <w:r w:rsidR="00FA5F46">
        <w:t xml:space="preserve"> la fecha en la que </w:t>
      </w:r>
      <w:r w:rsidR="00C56FFA">
        <w:t>inicia</w:t>
      </w:r>
      <w:r w:rsidR="00FA5F46">
        <w:t xml:space="preserve"> el rango </w:t>
      </w:r>
      <w:r w:rsidR="00C56FFA">
        <w:t>2</w:t>
      </w:r>
      <w:r w:rsidR="002140A8">
        <w:t>, definid</w:t>
      </w:r>
      <w:r w:rsidR="00802CC9">
        <w:t>o</w:t>
      </w:r>
      <w:r w:rsidR="002140A8">
        <w:t xml:space="preserve"> en el </w:t>
      </w:r>
      <w:r w:rsidR="00AC5718">
        <w:t>artículo</w:t>
      </w:r>
      <w:r w:rsidR="00442B77">
        <w:t xml:space="preserve"> </w:t>
      </w:r>
      <w:r w:rsidR="00442B77">
        <w:fldChar w:fldCharType="begin"/>
      </w:r>
      <w:r w:rsidR="00442B77">
        <w:instrText xml:space="preserve"> REF _Ref120807768 \r \h \t</w:instrText>
      </w:r>
      <w:r w:rsidR="00442B77">
        <w:fldChar w:fldCharType="separate"/>
      </w:r>
      <w:r w:rsidR="00232342">
        <w:t>10</w:t>
      </w:r>
      <w:r w:rsidR="00442B77">
        <w:fldChar w:fldCharType="end"/>
      </w:r>
      <w:r w:rsidR="00AC5718">
        <w:t>,</w:t>
      </w:r>
      <w:r w:rsidR="00FA5F46">
        <w:t xml:space="preserve"> y hasta la fecha de corte</w:t>
      </w:r>
      <w:r w:rsidR="00F26CE0">
        <w:t xml:space="preserve">; no se requiere reportar las UC </w:t>
      </w:r>
      <w:r w:rsidR="00F26CE0">
        <w:rPr>
          <w:lang w:val="es-ES_tradnl"/>
        </w:rPr>
        <w:t xml:space="preserve">que fueron </w:t>
      </w:r>
      <w:r w:rsidR="00F26CE0">
        <w:t xml:space="preserve">reemplazadas </w:t>
      </w:r>
      <w:r w:rsidR="00F26CE0">
        <w:rPr>
          <w:lang w:val="es-ES_tradnl"/>
        </w:rPr>
        <w:t xml:space="preserve">para los tipos I y III definidos en el capítulo 6 </w:t>
      </w:r>
      <w:r w:rsidR="00F26CE0">
        <w:t xml:space="preserve">de </w:t>
      </w:r>
      <w:r w:rsidR="00F26CE0" w:rsidRPr="00310D2C">
        <w:t>la Resolución CREG 015 de 2018</w:t>
      </w:r>
      <w:r w:rsidR="00F26CE0" w:rsidRPr="00C21A9D">
        <w:t xml:space="preserve"> </w:t>
      </w:r>
      <w:r w:rsidR="00F26CE0">
        <w:t>y sus modificaciones</w:t>
      </w:r>
      <w:r w:rsidR="00A37726">
        <w:t>.</w:t>
      </w:r>
      <w:r w:rsidR="00080A1F">
        <w:t xml:space="preserve"> Para las variables </w:t>
      </w:r>
      <w:proofErr w:type="spellStart"/>
      <w:r w:rsidR="00080A1F" w:rsidRPr="001305F2">
        <w:rPr>
          <w:i/>
          <w:iCs/>
        </w:rPr>
        <w:t>N</w:t>
      </w:r>
      <w:r w:rsidR="00080A1F">
        <w:rPr>
          <w:i/>
          <w:iCs/>
        </w:rPr>
        <w:t>T</w:t>
      </w:r>
      <w:r w:rsidR="00080A1F" w:rsidRPr="001305F2">
        <w:rPr>
          <w:i/>
          <w:iCs/>
        </w:rPr>
        <w:t>N</w:t>
      </w:r>
      <w:r w:rsidR="00080A1F" w:rsidRPr="001305F2">
        <w:rPr>
          <w:i/>
          <w:iCs/>
          <w:vertAlign w:val="subscript"/>
        </w:rPr>
        <w:t>j</w:t>
      </w:r>
      <w:proofErr w:type="spellEnd"/>
      <w:r w:rsidR="00080A1F">
        <w:t xml:space="preserve"> y </w:t>
      </w:r>
      <w:proofErr w:type="spellStart"/>
      <w:r w:rsidR="00080A1F" w:rsidRPr="001305F2">
        <w:rPr>
          <w:i/>
          <w:iCs/>
        </w:rPr>
        <w:t>NRN</w:t>
      </w:r>
      <w:r w:rsidR="00080A1F" w:rsidRPr="001305F2">
        <w:rPr>
          <w:i/>
          <w:iCs/>
          <w:vertAlign w:val="subscript"/>
        </w:rPr>
        <w:t>j</w:t>
      </w:r>
      <w:proofErr w:type="spellEnd"/>
      <w:r w:rsidR="00080A1F">
        <w:t xml:space="preserve"> no </w:t>
      </w:r>
      <w:r w:rsidR="00C16204">
        <w:t xml:space="preserve">se requerirá que los activos hayan sido reportados al SUI </w:t>
      </w:r>
      <w:r w:rsidR="00EB14E1">
        <w:t xml:space="preserve">ni </w:t>
      </w:r>
      <w:r w:rsidR="00080A1F">
        <w:t xml:space="preserve">aplica el literal v) de la definición de la variable </w:t>
      </w:r>
      <w:proofErr w:type="spellStart"/>
      <w:r w:rsidR="00080A1F" w:rsidRPr="001305F2">
        <w:rPr>
          <w:i/>
          <w:iCs/>
        </w:rPr>
        <w:t>NRN</w:t>
      </w:r>
      <w:r w:rsidR="00080A1F" w:rsidRPr="001305F2">
        <w:rPr>
          <w:i/>
          <w:iCs/>
          <w:vertAlign w:val="subscript"/>
        </w:rPr>
        <w:t>j</w:t>
      </w:r>
      <w:proofErr w:type="spellEnd"/>
      <w:r w:rsidR="00080A1F">
        <w:t>;</w:t>
      </w:r>
    </w:p>
    <w:p w14:paraId="45A6962E" w14:textId="7FAEF08F" w:rsidR="00994BB7" w:rsidRPr="004E6CFC" w:rsidRDefault="00621D84" w:rsidP="009F7EFF">
      <w:pPr>
        <w:pStyle w:val="Artculo"/>
        <w:spacing w:before="360" w:after="0"/>
        <w:ind w:left="0"/>
        <w:outlineLvl w:val="1"/>
      </w:pPr>
      <w:bookmarkStart w:id="9" w:name="_Ref120807768"/>
      <w:r>
        <w:t xml:space="preserve">Rangos de antigüedad para los activos. </w:t>
      </w:r>
      <w:r w:rsidR="007E4A8C" w:rsidRPr="007E4A8C">
        <w:rPr>
          <w:b w:val="0"/>
          <w:bCs/>
        </w:rPr>
        <w:t>Para las empresas que se traslad</w:t>
      </w:r>
      <w:r w:rsidR="007E4A8C">
        <w:rPr>
          <w:b w:val="0"/>
          <w:bCs/>
        </w:rPr>
        <w:t>a</w:t>
      </w:r>
      <w:r w:rsidR="007E4A8C" w:rsidRPr="007E4A8C">
        <w:rPr>
          <w:b w:val="0"/>
          <w:bCs/>
        </w:rPr>
        <w:t>n al SIN</w:t>
      </w:r>
      <w:r w:rsidR="003E6DDC">
        <w:rPr>
          <w:b w:val="0"/>
          <w:bCs/>
        </w:rPr>
        <w:t>,</w:t>
      </w:r>
      <w:r w:rsidR="004325DC">
        <w:rPr>
          <w:b w:val="0"/>
          <w:bCs/>
        </w:rPr>
        <w:t xml:space="preserve"> para el mercado de comercialización que se interconecta,</w:t>
      </w:r>
      <w:r w:rsidR="007E4A8C" w:rsidRPr="007E4A8C">
        <w:rPr>
          <w:b w:val="0"/>
          <w:bCs/>
        </w:rPr>
        <w:t xml:space="preserve"> la Tabla 1 del numeral 3.1.1.1.2 del anexo general de la Resolución CREG 015 de 2018 será la siguiente:</w:t>
      </w:r>
      <w:bookmarkEnd w:id="9"/>
    </w:p>
    <w:p w14:paraId="22DC434C" w14:textId="1D408205" w:rsidR="00994BB7" w:rsidRPr="004E6CFC" w:rsidRDefault="00994BB7" w:rsidP="00E36416">
      <w:pPr>
        <w:pStyle w:val="Descripcin"/>
      </w:pPr>
      <w:bookmarkStart w:id="10" w:name="_Ref456098336"/>
      <w:r w:rsidRPr="004E6CFC">
        <w:t xml:space="preserve">Tabla </w:t>
      </w:r>
      <w:r w:rsidRPr="004E6CFC">
        <w:fldChar w:fldCharType="begin"/>
      </w:r>
      <w:r w:rsidRPr="004E6CFC">
        <w:instrText xml:space="preserve"> SEQ Tabla \* ARABIC </w:instrText>
      </w:r>
      <w:r w:rsidRPr="004E6CFC">
        <w:fldChar w:fldCharType="separate"/>
      </w:r>
      <w:r w:rsidR="00232342">
        <w:rPr>
          <w:noProof/>
        </w:rPr>
        <w:t>1</w:t>
      </w:r>
      <w:r w:rsidRPr="004E6CFC">
        <w:fldChar w:fldCharType="end"/>
      </w:r>
      <w:bookmarkEnd w:id="10"/>
      <w:r w:rsidRPr="004E6CFC">
        <w:t xml:space="preserve"> Descripción de rangos de activos</w:t>
      </w:r>
    </w:p>
    <w:tbl>
      <w:tblPr>
        <w:tblW w:w="8642" w:type="dxa"/>
        <w:jc w:val="center"/>
        <w:tblCellMar>
          <w:left w:w="70" w:type="dxa"/>
          <w:right w:w="70" w:type="dxa"/>
        </w:tblCellMar>
        <w:tblLook w:val="04A0" w:firstRow="1" w:lastRow="0" w:firstColumn="1" w:lastColumn="0" w:noHBand="0" w:noVBand="1"/>
      </w:tblPr>
      <w:tblGrid>
        <w:gridCol w:w="1450"/>
        <w:gridCol w:w="4635"/>
        <w:gridCol w:w="2557"/>
      </w:tblGrid>
      <w:tr w:rsidR="00994BB7" w:rsidRPr="004E6CFC" w14:paraId="172D0FE5" w14:textId="77777777" w:rsidTr="00DD73DC">
        <w:trPr>
          <w:trHeight w:val="300"/>
          <w:tblHeader/>
          <w:jc w:val="center"/>
        </w:trPr>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E7341" w14:textId="77777777" w:rsidR="00994BB7" w:rsidRPr="004E6CFC" w:rsidRDefault="00994BB7" w:rsidP="00E36416">
            <w:pPr>
              <w:keepNext/>
              <w:spacing w:before="0" w:after="0"/>
              <w:jc w:val="center"/>
              <w:rPr>
                <w:rFonts w:cs="Arial"/>
                <w:b/>
                <w:color w:val="000000"/>
                <w:sz w:val="20"/>
                <w:szCs w:val="22"/>
                <w:lang w:eastAsia="es-CO"/>
              </w:rPr>
            </w:pPr>
            <w:r w:rsidRPr="004E6CFC">
              <w:rPr>
                <w:rFonts w:cs="Arial"/>
                <w:b/>
                <w:color w:val="000000"/>
                <w:sz w:val="20"/>
                <w:szCs w:val="22"/>
                <w:lang w:eastAsia="es-CO"/>
              </w:rPr>
              <w:t xml:space="preserve">RANGO </w:t>
            </w:r>
            <w:r w:rsidRPr="004E6CFC">
              <w:rPr>
                <w:rFonts w:cs="Arial"/>
                <w:b/>
                <w:i/>
                <w:color w:val="000000"/>
                <w:sz w:val="20"/>
                <w:szCs w:val="22"/>
                <w:lang w:eastAsia="es-CO"/>
              </w:rPr>
              <w:t>k</w:t>
            </w:r>
          </w:p>
        </w:tc>
        <w:tc>
          <w:tcPr>
            <w:tcW w:w="4635" w:type="dxa"/>
            <w:tcBorders>
              <w:top w:val="single" w:sz="4" w:space="0" w:color="auto"/>
              <w:left w:val="nil"/>
              <w:bottom w:val="single" w:sz="4" w:space="0" w:color="auto"/>
              <w:right w:val="single" w:sz="4" w:space="0" w:color="auto"/>
            </w:tcBorders>
            <w:shd w:val="clear" w:color="auto" w:fill="auto"/>
            <w:noWrap/>
            <w:vAlign w:val="center"/>
            <w:hideMark/>
          </w:tcPr>
          <w:p w14:paraId="00686ABF" w14:textId="77777777" w:rsidR="00994BB7" w:rsidRPr="004E6CFC" w:rsidRDefault="00994BB7" w:rsidP="00E36416">
            <w:pPr>
              <w:keepNext/>
              <w:spacing w:before="0" w:after="0"/>
              <w:jc w:val="center"/>
              <w:rPr>
                <w:rFonts w:cs="Arial"/>
                <w:b/>
                <w:color w:val="000000"/>
                <w:sz w:val="20"/>
                <w:szCs w:val="22"/>
                <w:lang w:eastAsia="es-CO"/>
              </w:rPr>
            </w:pPr>
            <w:r w:rsidRPr="004E6CFC">
              <w:rPr>
                <w:rFonts w:cs="Arial"/>
                <w:b/>
                <w:color w:val="000000"/>
                <w:sz w:val="20"/>
                <w:szCs w:val="22"/>
                <w:lang w:eastAsia="es-CO"/>
              </w:rPr>
              <w:t>Entrada en operación</w:t>
            </w:r>
          </w:p>
        </w:tc>
        <w:tc>
          <w:tcPr>
            <w:tcW w:w="2557" w:type="dxa"/>
            <w:tcBorders>
              <w:top w:val="single" w:sz="4" w:space="0" w:color="auto"/>
              <w:left w:val="nil"/>
              <w:bottom w:val="single" w:sz="4" w:space="0" w:color="auto"/>
              <w:right w:val="single" w:sz="4" w:space="0" w:color="auto"/>
            </w:tcBorders>
            <w:vAlign w:val="center"/>
          </w:tcPr>
          <w:p w14:paraId="40D3C4AE" w14:textId="77777777" w:rsidR="00994BB7" w:rsidRPr="004E6CFC" w:rsidRDefault="00994BB7" w:rsidP="00E36416">
            <w:pPr>
              <w:keepNext/>
              <w:spacing w:before="0" w:after="0"/>
              <w:jc w:val="center"/>
              <w:rPr>
                <w:rFonts w:cs="Arial"/>
                <w:b/>
                <w:color w:val="000000"/>
                <w:sz w:val="20"/>
                <w:szCs w:val="22"/>
                <w:lang w:eastAsia="es-CO"/>
              </w:rPr>
            </w:pPr>
            <w:r w:rsidRPr="004E6CFC">
              <w:rPr>
                <w:rFonts w:cs="Arial"/>
                <w:b/>
                <w:color w:val="000000"/>
                <w:sz w:val="20"/>
                <w:szCs w:val="22"/>
                <w:lang w:eastAsia="es-CO"/>
              </w:rPr>
              <w:t xml:space="preserve">Antigüedad de referencia - </w:t>
            </w:r>
            <w:proofErr w:type="spellStart"/>
            <w:r w:rsidRPr="004E6CFC">
              <w:rPr>
                <w:rFonts w:cs="Arial"/>
                <w:b/>
                <w:i/>
                <w:color w:val="000000"/>
                <w:sz w:val="20"/>
                <w:szCs w:val="22"/>
                <w:lang w:eastAsia="es-CO"/>
              </w:rPr>
              <w:t>AR</w:t>
            </w:r>
            <w:r w:rsidRPr="004E6CFC">
              <w:rPr>
                <w:rFonts w:cs="Arial"/>
                <w:b/>
                <w:i/>
                <w:color w:val="000000"/>
                <w:sz w:val="20"/>
                <w:szCs w:val="22"/>
                <w:vertAlign w:val="subscript"/>
                <w:lang w:eastAsia="es-CO"/>
              </w:rPr>
              <w:t>k</w:t>
            </w:r>
            <w:proofErr w:type="spellEnd"/>
            <w:r w:rsidRPr="004E6CFC">
              <w:rPr>
                <w:rFonts w:cs="Arial"/>
                <w:b/>
                <w:color w:val="000000"/>
                <w:sz w:val="20"/>
                <w:szCs w:val="22"/>
                <w:lang w:eastAsia="es-CO"/>
              </w:rPr>
              <w:t xml:space="preserve"> (años)</w:t>
            </w:r>
          </w:p>
        </w:tc>
      </w:tr>
      <w:tr w:rsidR="00994BB7" w:rsidRPr="004E6CFC" w14:paraId="1FF404BF" w14:textId="77777777" w:rsidTr="00DD73DC">
        <w:trPr>
          <w:trHeight w:val="300"/>
          <w:jc w:val="center"/>
        </w:trPr>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78D66" w14:textId="77777777" w:rsidR="00994BB7" w:rsidRPr="004E6CFC" w:rsidRDefault="00994BB7" w:rsidP="00E36416">
            <w:pPr>
              <w:keepNext/>
              <w:spacing w:before="0" w:after="0"/>
              <w:jc w:val="center"/>
              <w:rPr>
                <w:rFonts w:cs="Arial"/>
                <w:color w:val="000000"/>
                <w:sz w:val="20"/>
                <w:szCs w:val="22"/>
                <w:lang w:eastAsia="es-CO"/>
              </w:rPr>
            </w:pPr>
            <w:r>
              <w:rPr>
                <w:rFonts w:cs="Arial"/>
                <w:color w:val="000000"/>
                <w:sz w:val="20"/>
                <w:szCs w:val="22"/>
                <w:lang w:eastAsia="es-CO"/>
              </w:rPr>
              <w:t>1</w:t>
            </w:r>
          </w:p>
        </w:tc>
        <w:tc>
          <w:tcPr>
            <w:tcW w:w="4635" w:type="dxa"/>
            <w:tcBorders>
              <w:top w:val="single" w:sz="4" w:space="0" w:color="auto"/>
              <w:left w:val="nil"/>
              <w:bottom w:val="single" w:sz="4" w:space="0" w:color="auto"/>
              <w:right w:val="single" w:sz="4" w:space="0" w:color="auto"/>
            </w:tcBorders>
            <w:shd w:val="clear" w:color="auto" w:fill="auto"/>
            <w:noWrap/>
            <w:vAlign w:val="center"/>
            <w:hideMark/>
          </w:tcPr>
          <w:p w14:paraId="2088474A" w14:textId="72BCA6B0" w:rsidR="00994BB7" w:rsidRPr="004E6CFC" w:rsidRDefault="00994BB7" w:rsidP="00E36416">
            <w:pPr>
              <w:keepNext/>
              <w:spacing w:before="0" w:after="0"/>
              <w:jc w:val="center"/>
              <w:rPr>
                <w:rFonts w:cs="Arial"/>
                <w:color w:val="000000"/>
                <w:sz w:val="20"/>
                <w:szCs w:val="22"/>
                <w:lang w:eastAsia="es-CO"/>
              </w:rPr>
            </w:pPr>
            <w:r>
              <w:rPr>
                <w:rFonts w:cs="Arial"/>
                <w:color w:val="000000"/>
                <w:sz w:val="20"/>
                <w:szCs w:val="22"/>
                <w:lang w:eastAsia="es-CO"/>
              </w:rPr>
              <w:t>Hasta el 31 de diciembre de</w:t>
            </w:r>
            <w:r w:rsidR="00580822">
              <w:rPr>
                <w:rFonts w:cs="Arial"/>
                <w:color w:val="000000"/>
                <w:sz w:val="20"/>
                <w:szCs w:val="22"/>
                <w:lang w:eastAsia="es-CO"/>
              </w:rPr>
              <w:t>l año de la fecha de corte menos 10 años</w:t>
            </w:r>
          </w:p>
        </w:tc>
        <w:tc>
          <w:tcPr>
            <w:tcW w:w="2557" w:type="dxa"/>
            <w:tcBorders>
              <w:top w:val="single" w:sz="4" w:space="0" w:color="auto"/>
              <w:left w:val="nil"/>
              <w:bottom w:val="single" w:sz="4" w:space="0" w:color="auto"/>
              <w:right w:val="single" w:sz="4" w:space="0" w:color="auto"/>
            </w:tcBorders>
            <w:vAlign w:val="center"/>
          </w:tcPr>
          <w:p w14:paraId="2723B56E" w14:textId="77777777" w:rsidR="00994BB7" w:rsidRPr="004E6CFC" w:rsidRDefault="00994BB7" w:rsidP="00E36416">
            <w:pPr>
              <w:keepNext/>
              <w:spacing w:before="0" w:after="0"/>
              <w:jc w:val="center"/>
              <w:rPr>
                <w:rFonts w:cs="Arial"/>
                <w:color w:val="000000"/>
                <w:sz w:val="20"/>
                <w:szCs w:val="22"/>
                <w:lang w:eastAsia="es-CO"/>
              </w:rPr>
            </w:pPr>
            <w:r>
              <w:rPr>
                <w:rFonts w:cs="Arial"/>
                <w:color w:val="000000"/>
                <w:sz w:val="20"/>
                <w:szCs w:val="22"/>
                <w:lang w:eastAsia="es-CO"/>
              </w:rPr>
              <w:t>10</w:t>
            </w:r>
          </w:p>
        </w:tc>
      </w:tr>
      <w:tr w:rsidR="00994BB7" w:rsidRPr="004E6CFC" w14:paraId="267CA723" w14:textId="77777777" w:rsidTr="00DD73DC">
        <w:trPr>
          <w:trHeight w:val="300"/>
          <w:jc w:val="center"/>
        </w:trPr>
        <w:tc>
          <w:tcPr>
            <w:tcW w:w="14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6C74F" w14:textId="77777777" w:rsidR="00994BB7" w:rsidRPr="004E6CFC" w:rsidRDefault="00994BB7" w:rsidP="00DD73DC">
            <w:pPr>
              <w:spacing w:before="0" w:after="0"/>
              <w:jc w:val="center"/>
              <w:rPr>
                <w:rFonts w:cs="Arial"/>
                <w:color w:val="000000"/>
                <w:sz w:val="20"/>
                <w:szCs w:val="22"/>
                <w:lang w:eastAsia="es-CO"/>
              </w:rPr>
            </w:pPr>
            <w:r>
              <w:rPr>
                <w:rFonts w:cs="Arial"/>
                <w:color w:val="000000"/>
                <w:sz w:val="20"/>
                <w:szCs w:val="22"/>
                <w:lang w:eastAsia="es-CO"/>
              </w:rPr>
              <w:t>2</w:t>
            </w:r>
          </w:p>
        </w:tc>
        <w:tc>
          <w:tcPr>
            <w:tcW w:w="4635" w:type="dxa"/>
            <w:tcBorders>
              <w:top w:val="single" w:sz="4" w:space="0" w:color="auto"/>
              <w:left w:val="nil"/>
              <w:bottom w:val="single" w:sz="4" w:space="0" w:color="auto"/>
              <w:right w:val="single" w:sz="4" w:space="0" w:color="auto"/>
            </w:tcBorders>
            <w:shd w:val="clear" w:color="auto" w:fill="auto"/>
            <w:noWrap/>
            <w:vAlign w:val="center"/>
          </w:tcPr>
          <w:p w14:paraId="54F91D2E" w14:textId="6C6873FE" w:rsidR="00994BB7" w:rsidRPr="004E6CFC" w:rsidRDefault="00994BB7" w:rsidP="00DD73DC">
            <w:pPr>
              <w:spacing w:before="0" w:after="0"/>
              <w:jc w:val="center"/>
              <w:rPr>
                <w:rFonts w:cs="Arial"/>
                <w:color w:val="000000"/>
                <w:sz w:val="20"/>
                <w:szCs w:val="22"/>
                <w:lang w:eastAsia="es-CO"/>
              </w:rPr>
            </w:pPr>
            <w:r>
              <w:rPr>
                <w:rFonts w:cs="Arial"/>
                <w:color w:val="000000"/>
                <w:sz w:val="20"/>
                <w:szCs w:val="22"/>
                <w:lang w:eastAsia="es-CO"/>
              </w:rPr>
              <w:t xml:space="preserve">A partir del </w:t>
            </w:r>
            <w:r w:rsidR="00E357DC">
              <w:rPr>
                <w:rFonts w:cs="Arial"/>
                <w:color w:val="000000"/>
                <w:sz w:val="20"/>
                <w:szCs w:val="22"/>
                <w:lang w:eastAsia="es-CO"/>
              </w:rPr>
              <w:t>día siguiente a la fecha anterior</w:t>
            </w:r>
          </w:p>
        </w:tc>
        <w:tc>
          <w:tcPr>
            <w:tcW w:w="2557" w:type="dxa"/>
            <w:tcBorders>
              <w:top w:val="single" w:sz="4" w:space="0" w:color="auto"/>
              <w:left w:val="nil"/>
              <w:bottom w:val="single" w:sz="4" w:space="0" w:color="auto"/>
              <w:right w:val="single" w:sz="4" w:space="0" w:color="auto"/>
            </w:tcBorders>
            <w:vAlign w:val="center"/>
          </w:tcPr>
          <w:p w14:paraId="73E154BC" w14:textId="77777777" w:rsidR="00994BB7" w:rsidRPr="004E6CFC" w:rsidRDefault="00994BB7" w:rsidP="00DD73DC">
            <w:pPr>
              <w:spacing w:before="0" w:after="0"/>
              <w:jc w:val="center"/>
              <w:rPr>
                <w:rFonts w:cs="Arial"/>
                <w:color w:val="000000"/>
                <w:sz w:val="20"/>
                <w:szCs w:val="22"/>
                <w:lang w:eastAsia="es-CO"/>
              </w:rPr>
            </w:pPr>
            <w:r w:rsidRPr="004E6CFC">
              <w:rPr>
                <w:rFonts w:cs="Arial"/>
                <w:color w:val="000000"/>
                <w:sz w:val="20"/>
                <w:szCs w:val="22"/>
                <w:lang w:eastAsia="es-CO"/>
              </w:rPr>
              <w:t>0</w:t>
            </w:r>
          </w:p>
        </w:tc>
      </w:tr>
    </w:tbl>
    <w:p w14:paraId="1BCA0D81" w14:textId="4A27A04A" w:rsidR="0078724E" w:rsidRDefault="0078724E" w:rsidP="0078724E">
      <w:pPr>
        <w:pStyle w:val="Artculo"/>
        <w:spacing w:before="360" w:after="0"/>
        <w:ind w:left="0"/>
        <w:outlineLvl w:val="1"/>
        <w:rPr>
          <w:b w:val="0"/>
          <w:bCs/>
        </w:rPr>
      </w:pPr>
      <w:bookmarkStart w:id="11" w:name="_Ref109375046"/>
      <w:r>
        <w:t xml:space="preserve">Cálculo de AOM. </w:t>
      </w:r>
      <w:r>
        <w:rPr>
          <w:b w:val="0"/>
          <w:bCs/>
        </w:rPr>
        <w:t>Para el cálculo de los gastos de administración, operación y man</w:t>
      </w:r>
      <w:r w:rsidRPr="00A74948">
        <w:rPr>
          <w:b w:val="0"/>
          <w:bCs/>
        </w:rPr>
        <w:t>tenimiento, AOM, a ser reconocidos</w:t>
      </w:r>
      <w:r w:rsidR="00A01E16">
        <w:rPr>
          <w:b w:val="0"/>
          <w:bCs/>
        </w:rPr>
        <w:t xml:space="preserve"> en el mercado de comercia</w:t>
      </w:r>
      <w:r w:rsidR="00A01E16">
        <w:rPr>
          <w:b w:val="0"/>
          <w:bCs/>
        </w:rPr>
        <w:softHyphen/>
        <w:t>lización que se conecta al SIN</w:t>
      </w:r>
      <w:r w:rsidR="003E6DDC">
        <w:rPr>
          <w:b w:val="0"/>
          <w:bCs/>
        </w:rPr>
        <w:t>,</w:t>
      </w:r>
      <w:r w:rsidRPr="00A74948">
        <w:rPr>
          <w:b w:val="0"/>
          <w:bCs/>
        </w:rPr>
        <w:t xml:space="preserve"> se utiliza la metodología del capítulo 4 del anexo </w:t>
      </w:r>
      <w:r w:rsidRPr="00A74948">
        <w:rPr>
          <w:b w:val="0"/>
          <w:bCs/>
        </w:rPr>
        <w:lastRenderedPageBreak/>
        <w:t>general de la Resolución CREG 015 de 2018 y sus modificaciones</w:t>
      </w:r>
      <w:r>
        <w:rPr>
          <w:b w:val="0"/>
          <w:bCs/>
        </w:rPr>
        <w:t>, teniendo en cuenta lo siguiente:</w:t>
      </w:r>
      <w:bookmarkEnd w:id="11"/>
    </w:p>
    <w:p w14:paraId="3174CB75" w14:textId="77777777" w:rsidR="0078724E" w:rsidRDefault="00232342" w:rsidP="00975E92">
      <w:pPr>
        <w:pStyle w:val="Prrafodelista"/>
        <w:numPr>
          <w:ilvl w:val="0"/>
          <w:numId w:val="0"/>
        </w:numPr>
        <w:spacing w:before="120" w:after="0"/>
      </w:pPr>
      <m:oMathPara>
        <m:oMath>
          <m:sSub>
            <m:sSubPr>
              <m:ctrlPr>
                <w:rPr>
                  <w:rFonts w:ascii="Cambria Math" w:hAnsi="Cambria Math"/>
                  <w:lang w:val="es-MX"/>
                </w:rPr>
              </m:ctrlPr>
            </m:sSubPr>
            <m:e>
              <m:r>
                <w:rPr>
                  <w:rFonts w:ascii="Cambria Math" w:hAnsi="Cambria Math"/>
                  <w:lang w:val="es-MX"/>
                </w:rPr>
                <m:t>AOMbase</m:t>
              </m:r>
            </m:e>
            <m:sub>
              <m:r>
                <w:rPr>
                  <w:rFonts w:ascii="Cambria Math" w:hAnsi="Cambria Math"/>
                  <w:lang w:val="es-MX"/>
                </w:rPr>
                <m:t>j</m:t>
              </m:r>
            </m:sub>
          </m:sSub>
          <m:r>
            <m:rPr>
              <m:sty m:val="p"/>
            </m:rPr>
            <w:rPr>
              <w:rFonts w:ascii="Cambria Math" w:hAnsi="Cambria Math"/>
              <w:lang w:val="es-MX"/>
            </w:rPr>
            <m:t>=</m:t>
          </m:r>
          <m:sSub>
            <m:sSubPr>
              <m:ctrlPr>
                <w:rPr>
                  <w:rFonts w:ascii="Cambria Math" w:hAnsi="Cambria Math"/>
                  <w:i/>
                  <w:lang w:val="es-MX"/>
                </w:rPr>
              </m:ctrlPr>
            </m:sSubPr>
            <m:e>
              <m:r>
                <w:rPr>
                  <w:rFonts w:ascii="Cambria Math" w:hAnsi="Cambria Math"/>
                  <w:lang w:val="es-MX"/>
                </w:rPr>
                <m:t>AOMINI</m:t>
              </m:r>
            </m:e>
            <m:sub>
              <m:r>
                <w:rPr>
                  <w:rFonts w:ascii="Cambria Math" w:hAnsi="Cambria Math"/>
                  <w:lang w:val="es-MX"/>
                </w:rPr>
                <m:t>j</m:t>
              </m:r>
            </m:sub>
          </m:sSub>
          <m:r>
            <w:rPr>
              <w:rFonts w:ascii="Cambria Math" w:hAnsi="Cambria Math"/>
              <w:lang w:val="es-MX"/>
            </w:rPr>
            <m:t>+</m:t>
          </m:r>
          <m:sSub>
            <m:sSubPr>
              <m:ctrlPr>
                <w:rPr>
                  <w:rFonts w:ascii="Cambria Math" w:hAnsi="Cambria Math"/>
                  <w:i/>
                  <w:lang w:val="es-MX"/>
                </w:rPr>
              </m:ctrlPr>
            </m:sSubPr>
            <m:e>
              <m:r>
                <w:rPr>
                  <w:rFonts w:ascii="Cambria Math" w:hAnsi="Cambria Math"/>
                  <w:lang w:val="es-MX"/>
                </w:rPr>
                <m:t>AMB</m:t>
              </m:r>
            </m:e>
            <m:sub>
              <m:r>
                <w:rPr>
                  <w:rFonts w:ascii="Cambria Math" w:hAnsi="Cambria Math"/>
                  <w:lang w:val="es-MX"/>
                </w:rPr>
                <m:t>j</m:t>
              </m:r>
            </m:sub>
          </m:sSub>
        </m:oMath>
      </m:oMathPara>
    </w:p>
    <w:p w14:paraId="68AE06D1" w14:textId="77777777" w:rsidR="0078724E" w:rsidRPr="008F6212" w:rsidRDefault="00232342" w:rsidP="00975E92">
      <w:pPr>
        <w:pStyle w:val="Prrafodelista"/>
        <w:numPr>
          <w:ilvl w:val="0"/>
          <w:numId w:val="0"/>
        </w:numPr>
        <w:spacing w:before="120" w:after="0"/>
        <w:rPr>
          <w:lang w:val="es-MX"/>
        </w:rPr>
      </w:pPr>
      <m:oMathPara>
        <m:oMath>
          <m:sSub>
            <m:sSubPr>
              <m:ctrlPr>
                <w:rPr>
                  <w:rFonts w:ascii="Cambria Math" w:hAnsi="Cambria Math"/>
                  <w:i/>
                  <w:lang w:val="es-MX"/>
                </w:rPr>
              </m:ctrlPr>
            </m:sSubPr>
            <m:e>
              <m:r>
                <w:rPr>
                  <w:rFonts w:ascii="Cambria Math" w:hAnsi="Cambria Math"/>
                  <w:lang w:val="es-MX"/>
                </w:rPr>
                <m:t>AOMINI</m:t>
              </m:r>
            </m:e>
            <m:sub>
              <m:r>
                <w:rPr>
                  <w:rFonts w:ascii="Cambria Math" w:hAnsi="Cambria Math"/>
                  <w:lang w:val="es-MX"/>
                </w:rPr>
                <m:t>j</m:t>
              </m:r>
            </m:sub>
          </m:sSub>
          <m:r>
            <w:rPr>
              <w:rFonts w:ascii="Cambria Math" w:hAnsi="Cambria Math"/>
              <w:lang w:val="es-MX"/>
            </w:rPr>
            <m:t>=min</m:t>
          </m:r>
          <m:d>
            <m:dPr>
              <m:begChr m:val="{"/>
              <m:endChr m:val="}"/>
              <m:ctrlPr>
                <w:rPr>
                  <w:rFonts w:ascii="Cambria Math" w:hAnsi="Cambria Math"/>
                  <w:i/>
                  <w:lang w:val="es-MX"/>
                </w:rPr>
              </m:ctrlPr>
            </m:dPr>
            <m:e>
              <m:d>
                <m:dPr>
                  <m:ctrlPr>
                    <w:rPr>
                      <w:rFonts w:ascii="Cambria Math" w:hAnsi="Cambria Math"/>
                      <w:i/>
                      <w:lang w:val="es-MX"/>
                    </w:rPr>
                  </m:ctrlPr>
                </m:dPr>
                <m:e>
                  <m:r>
                    <w:rPr>
                      <w:rFonts w:ascii="Cambria Math" w:hAnsi="Cambria Math"/>
                      <w:lang w:val="es-MX"/>
                    </w:rPr>
                    <m:t>5,0 %*</m:t>
                  </m:r>
                  <m:nary>
                    <m:naryPr>
                      <m:chr m:val="∑"/>
                      <m:limLoc m:val="undOvr"/>
                      <m:ctrlPr>
                        <w:rPr>
                          <w:rFonts w:ascii="Cambria Math" w:hAnsi="Cambria Math"/>
                          <w:i/>
                          <w:lang w:val="es-MX"/>
                        </w:rPr>
                      </m:ctrlPr>
                    </m:naryPr>
                    <m:sub>
                      <m:r>
                        <w:rPr>
                          <w:rFonts w:ascii="Cambria Math" w:hAnsi="Cambria Math"/>
                          <w:lang w:val="es-MX"/>
                        </w:rPr>
                        <m:t>n=1</m:t>
                      </m:r>
                    </m:sub>
                    <m:sup>
                      <m:sSub>
                        <m:sSubPr>
                          <m:ctrlPr>
                            <w:rPr>
                              <w:rFonts w:ascii="Cambria Math" w:hAnsi="Cambria Math"/>
                              <w:i/>
                              <w:lang w:val="es-MX"/>
                            </w:rPr>
                          </m:ctrlPr>
                        </m:sSubPr>
                        <m:e>
                          <m:r>
                            <w:rPr>
                              <w:rFonts w:ascii="Cambria Math" w:hAnsi="Cambria Math"/>
                              <w:lang w:val="es-MX"/>
                            </w:rPr>
                            <m:t>4</m:t>
                          </m:r>
                        </m:e>
                        <m:sub/>
                      </m:sSub>
                    </m:sup>
                    <m:e>
                      <m:sSub>
                        <m:sSubPr>
                          <m:ctrlPr>
                            <w:rPr>
                              <w:rFonts w:ascii="Cambria Math" w:hAnsi="Cambria Math"/>
                              <w:i/>
                              <w:lang w:val="es-MX"/>
                            </w:rPr>
                          </m:ctrlPr>
                        </m:sSubPr>
                        <m:e>
                          <m:r>
                            <w:rPr>
                              <w:rFonts w:ascii="Cambria Math" w:hAnsi="Cambria Math"/>
                              <w:lang w:val="es-MX"/>
                            </w:rPr>
                            <m:t>BRAE</m:t>
                          </m:r>
                        </m:e>
                        <m:sub>
                          <m:r>
                            <w:rPr>
                              <w:rFonts w:ascii="Cambria Math" w:hAnsi="Cambria Math"/>
                              <w:lang w:val="es-MX"/>
                            </w:rPr>
                            <m:t>j,n,0</m:t>
                          </m:r>
                        </m:sub>
                      </m:sSub>
                    </m:e>
                  </m:nary>
                </m:e>
              </m:d>
              <m:r>
                <w:rPr>
                  <w:rFonts w:ascii="Cambria Math" w:hAnsi="Cambria Math"/>
                  <w:lang w:val="es-MX"/>
                </w:rPr>
                <m:t>,</m:t>
              </m:r>
              <m:sSub>
                <m:sSubPr>
                  <m:ctrlPr>
                    <w:rPr>
                      <w:rFonts w:ascii="Cambria Math" w:hAnsi="Cambria Math"/>
                      <w:i/>
                      <w:lang w:val="es-MX"/>
                    </w:rPr>
                  </m:ctrlPr>
                </m:sSubPr>
                <m:e>
                  <m:r>
                    <w:rPr>
                      <w:rFonts w:ascii="Cambria Math" w:hAnsi="Cambria Math"/>
                      <w:lang w:val="es-MX"/>
                    </w:rPr>
                    <m:t>AOMD</m:t>
                  </m:r>
                </m:e>
                <m:sub>
                  <m:r>
                    <w:rPr>
                      <w:rFonts w:ascii="Cambria Math" w:hAnsi="Cambria Math"/>
                      <w:lang w:val="es-MX"/>
                    </w:rPr>
                    <m:t>j,3a</m:t>
                  </m:r>
                </m:sub>
              </m:sSub>
            </m:e>
          </m:d>
        </m:oMath>
      </m:oMathPara>
    </w:p>
    <w:p w14:paraId="77486C6B" w14:textId="77777777" w:rsidR="0078724E" w:rsidRDefault="0078724E" w:rsidP="00975E92">
      <w:pPr>
        <w:pStyle w:val="Prrafodelista"/>
        <w:numPr>
          <w:ilvl w:val="0"/>
          <w:numId w:val="0"/>
        </w:numPr>
        <w:spacing w:before="120" w:after="0"/>
      </w:pPr>
      <w:r>
        <w:t>Donde:</w:t>
      </w:r>
    </w:p>
    <w:p w14:paraId="307445AD" w14:textId="423CCEA0" w:rsidR="0078724E" w:rsidRPr="00585EDF" w:rsidRDefault="0078724E" w:rsidP="00D820BC">
      <w:pPr>
        <w:spacing w:after="0"/>
        <w:ind w:left="1418" w:hanging="1418"/>
        <w:rPr>
          <w:lang w:val="es-MX"/>
        </w:rPr>
      </w:pPr>
      <w:proofErr w:type="spellStart"/>
      <w:r w:rsidRPr="00585EDF">
        <w:rPr>
          <w:i/>
        </w:rPr>
        <w:t>AOMbase</w:t>
      </w:r>
      <w:r w:rsidRPr="00585EDF">
        <w:rPr>
          <w:i/>
          <w:vertAlign w:val="subscript"/>
        </w:rPr>
        <w:t>j</w:t>
      </w:r>
      <w:proofErr w:type="spellEnd"/>
      <w:r w:rsidRPr="00585EDF">
        <w:rPr>
          <w:lang w:val="es-MX"/>
        </w:rPr>
        <w:t>:</w:t>
      </w:r>
      <w:r w:rsidRPr="00585EDF">
        <w:rPr>
          <w:lang w:val="es-MX"/>
        </w:rPr>
        <w:tab/>
        <w:t xml:space="preserve">Valor del AOM base para el OR </w:t>
      </w:r>
      <w:r w:rsidRPr="00585EDF">
        <w:rPr>
          <w:i/>
          <w:lang w:val="es-MX"/>
        </w:rPr>
        <w:t>j</w:t>
      </w:r>
      <w:r w:rsidRPr="00585EDF">
        <w:rPr>
          <w:lang w:val="es-MX"/>
        </w:rPr>
        <w:t>.</w:t>
      </w:r>
      <w:r w:rsidR="00696249">
        <w:rPr>
          <w:lang w:val="es-MX"/>
        </w:rPr>
        <w:t xml:space="preserve"> E</w:t>
      </w:r>
      <w:r w:rsidR="00F17BEE">
        <w:rPr>
          <w:lang w:val="es-MX"/>
        </w:rPr>
        <w:t xml:space="preserve">l resultado obtenido </w:t>
      </w:r>
      <w:r w:rsidR="00942E30">
        <w:rPr>
          <w:lang w:val="es-MX"/>
        </w:rPr>
        <w:t>se</w:t>
      </w:r>
      <w:r w:rsidR="00F17BEE">
        <w:rPr>
          <w:lang w:val="es-MX"/>
        </w:rPr>
        <w:t xml:space="preserve"> utilizará </w:t>
      </w:r>
      <w:r w:rsidR="00942E30">
        <w:rPr>
          <w:lang w:val="es-MX"/>
        </w:rPr>
        <w:t>en l</w:t>
      </w:r>
      <w:r w:rsidR="00F17BEE">
        <w:rPr>
          <w:lang w:val="es-MX"/>
        </w:rPr>
        <w:t>a</w:t>
      </w:r>
      <w:r w:rsidR="00942E30">
        <w:rPr>
          <w:lang w:val="es-MX"/>
        </w:rPr>
        <w:t xml:space="preserve">s fórmulas de la </w:t>
      </w:r>
      <w:r w:rsidR="00942E30" w:rsidRPr="00942E30">
        <w:rPr>
          <w:lang w:val="es-MX"/>
        </w:rPr>
        <w:t>Resolución CREG 015 de 2018</w:t>
      </w:r>
      <w:r w:rsidR="00F17BEE">
        <w:rPr>
          <w:lang w:val="es-MX"/>
        </w:rPr>
        <w:t xml:space="preserve"> </w:t>
      </w:r>
      <w:r w:rsidR="00D12263">
        <w:rPr>
          <w:lang w:val="es-MX"/>
        </w:rPr>
        <w:t>donde se</w:t>
      </w:r>
      <w:r w:rsidR="00F17BEE">
        <w:rPr>
          <w:lang w:val="es-MX"/>
        </w:rPr>
        <w:t xml:space="preserve"> requiera esta variable</w:t>
      </w:r>
      <w:r w:rsidR="00716DA6">
        <w:rPr>
          <w:lang w:val="es-MX"/>
        </w:rPr>
        <w:t>.</w:t>
      </w:r>
    </w:p>
    <w:p w14:paraId="77A1BA9D" w14:textId="4D3E5C71" w:rsidR="0078724E" w:rsidRPr="005F1087" w:rsidRDefault="0078724E" w:rsidP="00975E92">
      <w:pPr>
        <w:spacing w:after="0"/>
        <w:ind w:left="1410" w:hanging="1410"/>
        <w:rPr>
          <w:lang w:val="es-MX"/>
        </w:rPr>
      </w:pPr>
      <w:proofErr w:type="spellStart"/>
      <w:r w:rsidRPr="005F1087">
        <w:rPr>
          <w:i/>
          <w:lang w:val="es-MX"/>
        </w:rPr>
        <w:t>AOMINI</w:t>
      </w:r>
      <w:r w:rsidRPr="005F1087">
        <w:rPr>
          <w:i/>
          <w:vertAlign w:val="subscript"/>
          <w:lang w:val="es-MX"/>
        </w:rPr>
        <w:t>j</w:t>
      </w:r>
      <w:proofErr w:type="spellEnd"/>
      <w:r w:rsidRPr="005F1087">
        <w:rPr>
          <w:lang w:val="es-MX"/>
        </w:rPr>
        <w:t>:</w:t>
      </w:r>
      <w:r w:rsidRPr="005F1087">
        <w:rPr>
          <w:lang w:val="es-MX"/>
        </w:rPr>
        <w:tab/>
        <w:t xml:space="preserve">Valor del AOM inicial del OR </w:t>
      </w:r>
      <w:r w:rsidRPr="005F1087">
        <w:rPr>
          <w:i/>
          <w:lang w:val="es-MX"/>
        </w:rPr>
        <w:t>j</w:t>
      </w:r>
      <w:r w:rsidRPr="005F1087">
        <w:rPr>
          <w:lang w:val="es-MX"/>
        </w:rPr>
        <w:t xml:space="preserve">, calculado </w:t>
      </w:r>
      <w:r>
        <w:rPr>
          <w:lang w:val="es-MX"/>
        </w:rPr>
        <w:t xml:space="preserve">con la fórmula </w:t>
      </w:r>
      <w:r w:rsidR="00E52B6B">
        <w:rPr>
          <w:lang w:val="es-MX"/>
        </w:rPr>
        <w:t xml:space="preserve">aquí </w:t>
      </w:r>
      <w:r>
        <w:rPr>
          <w:lang w:val="es-MX"/>
        </w:rPr>
        <w:t>definida</w:t>
      </w:r>
      <w:r w:rsidRPr="005F1087">
        <w:rPr>
          <w:lang w:val="es-MX"/>
        </w:rPr>
        <w:t>.</w:t>
      </w:r>
    </w:p>
    <w:p w14:paraId="1280FECA" w14:textId="6306BC8D" w:rsidR="0078724E" w:rsidRDefault="0078724E" w:rsidP="00975E92">
      <w:pPr>
        <w:spacing w:after="0"/>
        <w:ind w:left="1410" w:hanging="1410"/>
        <w:rPr>
          <w:lang w:val="es-MX"/>
        </w:rPr>
      </w:pPr>
      <w:proofErr w:type="spellStart"/>
      <w:r w:rsidRPr="005F1087">
        <w:rPr>
          <w:i/>
        </w:rPr>
        <w:t>AMB</w:t>
      </w:r>
      <w:r w:rsidRPr="005F1087">
        <w:rPr>
          <w:i/>
          <w:vertAlign w:val="subscript"/>
        </w:rPr>
        <w:t>j</w:t>
      </w:r>
      <w:proofErr w:type="spellEnd"/>
      <w:r w:rsidRPr="005F1087">
        <w:rPr>
          <w:lang w:val="es-MX"/>
        </w:rPr>
        <w:t>:</w:t>
      </w:r>
      <w:r w:rsidRPr="005F1087">
        <w:rPr>
          <w:lang w:val="es-MX"/>
        </w:rPr>
        <w:tab/>
        <w:t xml:space="preserve">Valor </w:t>
      </w:r>
      <w:r>
        <w:rPr>
          <w:lang w:val="es-MX"/>
        </w:rPr>
        <w:t xml:space="preserve">adicional </w:t>
      </w:r>
      <w:r w:rsidRPr="005F1087">
        <w:rPr>
          <w:lang w:val="es-MX"/>
        </w:rPr>
        <w:t xml:space="preserve">de AOM a reconocer al OR </w:t>
      </w:r>
      <w:r w:rsidRPr="005F1087">
        <w:rPr>
          <w:i/>
          <w:lang w:val="es-MX"/>
        </w:rPr>
        <w:t>j</w:t>
      </w:r>
      <w:r w:rsidRPr="005F1087">
        <w:rPr>
          <w:lang w:val="es-MX"/>
        </w:rPr>
        <w:t xml:space="preserve"> por condiciones ambientales, calculado de acuerdo con lo previsto en el </w:t>
      </w:r>
      <w:r w:rsidR="00F261F4">
        <w:rPr>
          <w:lang w:val="es-MX"/>
        </w:rPr>
        <w:t xml:space="preserve">artículo </w:t>
      </w:r>
      <w:r w:rsidR="00F261F4">
        <w:rPr>
          <w:lang w:val="es-MX"/>
        </w:rPr>
        <w:fldChar w:fldCharType="begin"/>
      </w:r>
      <w:r w:rsidR="00F261F4">
        <w:rPr>
          <w:lang w:val="es-MX"/>
        </w:rPr>
        <w:instrText xml:space="preserve"> REF _Ref109378824 \r \h </w:instrText>
      </w:r>
      <w:r w:rsidR="009A3B00">
        <w:rPr>
          <w:lang w:val="es-MX"/>
        </w:rPr>
        <w:instrText>\t</w:instrText>
      </w:r>
      <w:r w:rsidR="00F261F4">
        <w:rPr>
          <w:lang w:val="es-MX"/>
        </w:rPr>
      </w:r>
      <w:r w:rsidR="00F261F4">
        <w:rPr>
          <w:lang w:val="es-MX"/>
        </w:rPr>
        <w:fldChar w:fldCharType="separate"/>
      </w:r>
      <w:r w:rsidR="00232342">
        <w:rPr>
          <w:lang w:val="es-MX"/>
        </w:rPr>
        <w:t>12</w:t>
      </w:r>
      <w:r w:rsidR="00F261F4">
        <w:rPr>
          <w:lang w:val="es-MX"/>
        </w:rPr>
        <w:fldChar w:fldCharType="end"/>
      </w:r>
      <w:r>
        <w:rPr>
          <w:lang w:val="es-MX"/>
        </w:rPr>
        <w:t xml:space="preserve">. </w:t>
      </w:r>
    </w:p>
    <w:p w14:paraId="79BB58A1" w14:textId="03342F25" w:rsidR="0078724E" w:rsidRPr="004E6CFC" w:rsidRDefault="0078724E" w:rsidP="00975E92">
      <w:pPr>
        <w:spacing w:after="0"/>
        <w:ind w:left="1416" w:hanging="1416"/>
      </w:pPr>
      <w:proofErr w:type="gramStart"/>
      <w:r w:rsidRPr="004E6CFC">
        <w:rPr>
          <w:i/>
          <w:iCs/>
        </w:rPr>
        <w:t>BRAE</w:t>
      </w:r>
      <w:r w:rsidRPr="004E6CFC">
        <w:rPr>
          <w:i/>
          <w:iCs/>
          <w:vertAlign w:val="subscript"/>
        </w:rPr>
        <w:t>j,n</w:t>
      </w:r>
      <w:proofErr w:type="gramEnd"/>
      <w:r w:rsidRPr="004E6CFC">
        <w:rPr>
          <w:i/>
          <w:iCs/>
          <w:vertAlign w:val="subscript"/>
        </w:rPr>
        <w:t>,0</w:t>
      </w:r>
      <w:r w:rsidRPr="004E6CFC">
        <w:t>:</w:t>
      </w:r>
      <w:r w:rsidRPr="004E6CFC">
        <w:tab/>
        <w:t xml:space="preserve">Base regulatoria de activos eléctricos del OR </w:t>
      </w:r>
      <w:r w:rsidRPr="004E6CFC">
        <w:rPr>
          <w:i/>
        </w:rPr>
        <w:t>j</w:t>
      </w:r>
      <w:r w:rsidRPr="004E6CFC">
        <w:t xml:space="preserve"> en el nivel de tensión</w:t>
      </w:r>
      <w:r>
        <w:t> </w:t>
      </w:r>
      <w:r w:rsidRPr="004E6CFC">
        <w:rPr>
          <w:i/>
          <w:iCs/>
        </w:rPr>
        <w:t xml:space="preserve">n </w:t>
      </w:r>
      <w:r w:rsidRPr="004E6CFC">
        <w:t>al inicio del p</w:t>
      </w:r>
      <w:r w:rsidR="000727D0">
        <w:t>eríodo</w:t>
      </w:r>
      <w:r w:rsidRPr="004E6CFC">
        <w:t xml:space="preserve"> tarifario</w:t>
      </w:r>
      <w:r>
        <w:t>, calculad</w:t>
      </w:r>
      <w:r w:rsidR="00873745">
        <w:t>a</w:t>
      </w:r>
      <w:r>
        <w:t xml:space="preserve"> como se establece en el artículo </w:t>
      </w:r>
      <w:r>
        <w:fldChar w:fldCharType="begin"/>
      </w:r>
      <w:r>
        <w:instrText xml:space="preserve"> REF _Ref70873792 \r \h \t</w:instrText>
      </w:r>
      <w:r>
        <w:fldChar w:fldCharType="separate"/>
      </w:r>
      <w:r w:rsidR="00232342">
        <w:t>9</w:t>
      </w:r>
      <w:r>
        <w:fldChar w:fldCharType="end"/>
      </w:r>
      <w:r w:rsidRPr="004E6CFC">
        <w:t>.</w:t>
      </w:r>
    </w:p>
    <w:p w14:paraId="2344231C" w14:textId="77777777" w:rsidR="0078724E" w:rsidRPr="005F1087" w:rsidRDefault="0078724E" w:rsidP="00975E92">
      <w:pPr>
        <w:spacing w:after="0"/>
        <w:ind w:left="1415" w:hanging="1415"/>
        <w:rPr>
          <w:lang w:val="es-MX"/>
        </w:rPr>
      </w:pPr>
      <w:proofErr w:type="gramStart"/>
      <w:r w:rsidRPr="005F1087">
        <w:rPr>
          <w:i/>
        </w:rPr>
        <w:t>AOMD</w:t>
      </w:r>
      <w:r w:rsidRPr="005F1087">
        <w:rPr>
          <w:i/>
          <w:vertAlign w:val="subscript"/>
        </w:rPr>
        <w:t>j,</w:t>
      </w:r>
      <w:r>
        <w:rPr>
          <w:i/>
          <w:vertAlign w:val="subscript"/>
        </w:rPr>
        <w:t>3a</w:t>
      </w:r>
      <w:proofErr w:type="gramEnd"/>
      <w:r w:rsidRPr="005F1087">
        <w:rPr>
          <w:lang w:val="es-MX"/>
        </w:rPr>
        <w:t>:</w:t>
      </w:r>
      <w:r w:rsidRPr="005F1087">
        <w:rPr>
          <w:lang w:val="es-MX"/>
        </w:rPr>
        <w:tab/>
        <w:t xml:space="preserve">Valor del AOM demostrado por el OR </w:t>
      </w:r>
      <w:r w:rsidRPr="005F1087">
        <w:rPr>
          <w:i/>
          <w:lang w:val="es-MX"/>
        </w:rPr>
        <w:t>j</w:t>
      </w:r>
      <w:r w:rsidRPr="005F1087">
        <w:rPr>
          <w:lang w:val="es-MX"/>
        </w:rPr>
        <w:t xml:space="preserve">, calculado de acuerdo con lo </w:t>
      </w:r>
      <w:r>
        <w:rPr>
          <w:lang w:val="es-MX"/>
        </w:rPr>
        <w:t>siguiente:</w:t>
      </w:r>
    </w:p>
    <w:p w14:paraId="08039E26" w14:textId="3F815CF6" w:rsidR="0078724E" w:rsidRPr="00833979" w:rsidRDefault="0078724E" w:rsidP="00975E92">
      <w:pPr>
        <w:pStyle w:val="Prrafodelista"/>
        <w:numPr>
          <w:ilvl w:val="0"/>
          <w:numId w:val="11"/>
        </w:numPr>
        <w:spacing w:before="120" w:after="0"/>
        <w:ind w:left="1701" w:hanging="357"/>
        <w:rPr>
          <w:lang w:val="es-MX"/>
        </w:rPr>
      </w:pPr>
      <w:r w:rsidRPr="00833979">
        <w:rPr>
          <w:lang w:val="es-MX"/>
        </w:rPr>
        <w:t>El valor de AOM demostrado</w:t>
      </w:r>
      <w:r w:rsidR="00AA7C4D" w:rsidRPr="00833979">
        <w:rPr>
          <w:lang w:val="es-MX"/>
        </w:rPr>
        <w:t>,</w:t>
      </w:r>
      <w:r w:rsidRPr="00833979">
        <w:rPr>
          <w:lang w:val="es-MX"/>
        </w:rPr>
        <w:t xml:space="preserve"> </w:t>
      </w:r>
      <w:r w:rsidR="00AA7C4D" w:rsidRPr="00833979">
        <w:rPr>
          <w:lang w:val="es-MX"/>
        </w:rPr>
        <w:t xml:space="preserve">tanto </w:t>
      </w:r>
      <w:r w:rsidRPr="00833979">
        <w:rPr>
          <w:lang w:val="es-MX"/>
        </w:rPr>
        <w:t xml:space="preserve">para el año que termina en la fecha de corte </w:t>
      </w:r>
      <w:r w:rsidR="00AA7C4D" w:rsidRPr="00833979">
        <w:rPr>
          <w:lang w:val="es-MX"/>
        </w:rPr>
        <w:t>como</w:t>
      </w:r>
      <w:r w:rsidRPr="00833979">
        <w:rPr>
          <w:lang w:val="es-MX"/>
        </w:rPr>
        <w:t xml:space="preserve"> para los dos años anteriores a este, se </w:t>
      </w:r>
      <w:r w:rsidR="00094176" w:rsidRPr="00833979">
        <w:rPr>
          <w:lang w:val="es-MX"/>
        </w:rPr>
        <w:t xml:space="preserve">deflacta </w:t>
      </w:r>
      <w:r w:rsidR="006D62D8" w:rsidRPr="00833979">
        <w:rPr>
          <w:lang w:val="es-MX"/>
        </w:rPr>
        <w:t>a pesos de diciembre de 2017</w:t>
      </w:r>
      <w:r w:rsidR="004602D4" w:rsidRPr="00833979">
        <w:rPr>
          <w:lang w:val="es-MX"/>
        </w:rPr>
        <w:t xml:space="preserve"> </w:t>
      </w:r>
      <w:r w:rsidRPr="00833979">
        <w:rPr>
          <w:lang w:val="es-MX"/>
        </w:rPr>
        <w:t xml:space="preserve">con la variación del IPP desde diciembre del respectivo año. El AOM demostrado es el reportado en los formatos a los que se hace referencia en el literal </w:t>
      </w:r>
      <w:r w:rsidRPr="00833979">
        <w:rPr>
          <w:lang w:val="es-MX"/>
        </w:rPr>
        <w:fldChar w:fldCharType="begin"/>
      </w:r>
      <w:r w:rsidRPr="00833979">
        <w:rPr>
          <w:lang w:val="es-MX"/>
        </w:rPr>
        <w:instrText xml:space="preserve"> REF _Ref70874273 \r \h </w:instrText>
      </w:r>
      <w:r w:rsidR="00C176F3" w:rsidRPr="00833979">
        <w:rPr>
          <w:lang w:val="es-MX"/>
        </w:rPr>
        <w:instrText xml:space="preserve"> \* MERGEFORMAT </w:instrText>
      </w:r>
      <w:r w:rsidRPr="00833979">
        <w:rPr>
          <w:lang w:val="es-MX"/>
        </w:rPr>
      </w:r>
      <w:r w:rsidRPr="00833979">
        <w:rPr>
          <w:lang w:val="es-MX"/>
        </w:rPr>
        <w:fldChar w:fldCharType="separate"/>
      </w:r>
      <w:r w:rsidR="00232342">
        <w:rPr>
          <w:lang w:val="es-MX"/>
        </w:rPr>
        <w:t>b)</w:t>
      </w:r>
      <w:r w:rsidRPr="00833979">
        <w:rPr>
          <w:lang w:val="es-MX"/>
        </w:rPr>
        <w:fldChar w:fldCharType="end"/>
      </w:r>
      <w:r w:rsidRPr="00833979">
        <w:rPr>
          <w:lang w:val="es-MX"/>
        </w:rPr>
        <w:t xml:space="preserve"> del artículo </w:t>
      </w:r>
      <w:r w:rsidRPr="00833979">
        <w:rPr>
          <w:lang w:val="es-MX"/>
        </w:rPr>
        <w:fldChar w:fldCharType="begin"/>
      </w:r>
      <w:r w:rsidRPr="00833979">
        <w:rPr>
          <w:lang w:val="es-MX"/>
        </w:rPr>
        <w:instrText xml:space="preserve"> REF _Ref70874276 \r \h \t</w:instrText>
      </w:r>
      <w:r w:rsidR="00C176F3" w:rsidRPr="00833979">
        <w:rPr>
          <w:lang w:val="es-MX"/>
        </w:rPr>
        <w:instrText xml:space="preserve"> \* MERGEFORMAT </w:instrText>
      </w:r>
      <w:r w:rsidRPr="00833979">
        <w:rPr>
          <w:lang w:val="es-MX"/>
        </w:rPr>
      </w:r>
      <w:r w:rsidRPr="00833979">
        <w:rPr>
          <w:lang w:val="es-MX"/>
        </w:rPr>
        <w:fldChar w:fldCharType="separate"/>
      </w:r>
      <w:r w:rsidR="00232342">
        <w:rPr>
          <w:lang w:val="es-MX"/>
        </w:rPr>
        <w:t>8</w:t>
      </w:r>
      <w:r w:rsidRPr="00833979">
        <w:rPr>
          <w:lang w:val="es-MX"/>
        </w:rPr>
        <w:fldChar w:fldCharType="end"/>
      </w:r>
      <w:r w:rsidRPr="00833979">
        <w:rPr>
          <w:lang w:val="es-MX"/>
        </w:rPr>
        <w:t>.</w:t>
      </w:r>
    </w:p>
    <w:p w14:paraId="0DD6DB65" w14:textId="1AC0B1B6" w:rsidR="0078724E" w:rsidRPr="005C5A80" w:rsidRDefault="0078724E" w:rsidP="00975E92">
      <w:pPr>
        <w:pStyle w:val="Prrafodelista"/>
        <w:numPr>
          <w:ilvl w:val="0"/>
          <w:numId w:val="11"/>
        </w:numPr>
        <w:spacing w:before="120" w:after="0"/>
        <w:ind w:left="1701" w:hanging="357"/>
        <w:rPr>
          <w:lang w:val="es-MX"/>
        </w:rPr>
      </w:pPr>
      <w:r w:rsidRPr="005F1087">
        <w:rPr>
          <w:lang w:val="es-MX"/>
        </w:rPr>
        <w:t xml:space="preserve">A partir de los valores actualizados se obtiene un promedio aritmético de ellos que corresponderá al </w:t>
      </w:r>
      <w:r w:rsidRPr="005F1087">
        <w:t xml:space="preserve">AOM demostrado, </w:t>
      </w:r>
      <w:r w:rsidRPr="005F1087">
        <w:rPr>
          <w:i/>
        </w:rPr>
        <w:t>AOMD</w:t>
      </w:r>
      <w:r w:rsidRPr="005F1087">
        <w:rPr>
          <w:i/>
          <w:vertAlign w:val="subscript"/>
        </w:rPr>
        <w:t>j,</w:t>
      </w:r>
      <w:r>
        <w:rPr>
          <w:i/>
          <w:vertAlign w:val="subscript"/>
        </w:rPr>
        <w:t>3a</w:t>
      </w:r>
      <w:r w:rsidRPr="005F1087">
        <w:t>.</w:t>
      </w:r>
    </w:p>
    <w:p w14:paraId="6D6E63E3" w14:textId="7D640F1E" w:rsidR="005C5A80" w:rsidRPr="005C5A80" w:rsidRDefault="005C5A80" w:rsidP="005C5A80">
      <w:pPr>
        <w:rPr>
          <w:lang w:val="es-MX"/>
        </w:rPr>
      </w:pPr>
      <w:r>
        <w:rPr>
          <w:lang w:val="es-MX"/>
        </w:rPr>
        <w:t xml:space="preserve">No se requiere calcular las variables definidas en los numerales </w:t>
      </w:r>
      <w:r w:rsidR="00AA7F87">
        <w:rPr>
          <w:lang w:val="es-MX"/>
        </w:rPr>
        <w:t xml:space="preserve">4.1.2 y 4.1.4 del anexo general de </w:t>
      </w:r>
      <w:r w:rsidR="00AA7F87" w:rsidRPr="00AA7F87">
        <w:rPr>
          <w:bCs/>
          <w:lang w:val="es-MX"/>
        </w:rPr>
        <w:t xml:space="preserve">la Resolución CREG 015 de 2018 </w:t>
      </w:r>
      <w:r w:rsidR="004A35B4">
        <w:rPr>
          <w:lang w:val="es-MX"/>
        </w:rPr>
        <w:t>y sus modificaciones.</w:t>
      </w:r>
    </w:p>
    <w:p w14:paraId="364A44C9" w14:textId="7C8F76BB" w:rsidR="007377CA" w:rsidRPr="00001B70" w:rsidRDefault="004961C1" w:rsidP="004E1E2F">
      <w:pPr>
        <w:pStyle w:val="Artculo"/>
        <w:spacing w:before="360" w:after="0"/>
        <w:ind w:left="0"/>
        <w:outlineLvl w:val="1"/>
      </w:pPr>
      <w:bookmarkStart w:id="12" w:name="_Ref109378824"/>
      <w:r>
        <w:t>V</w:t>
      </w:r>
      <w:r w:rsidR="0078724E">
        <w:t>a</w:t>
      </w:r>
      <w:r w:rsidR="00D53F23">
        <w:t>lor adicional por condiciones</w:t>
      </w:r>
      <w:r w:rsidR="0078724E">
        <w:t xml:space="preserve"> ambiental</w:t>
      </w:r>
      <w:r w:rsidR="00D53F23">
        <w:t>es</w:t>
      </w:r>
      <w:r>
        <w:t>.</w:t>
      </w:r>
      <w:r w:rsidR="00D53F23" w:rsidRPr="00FC71B3">
        <w:rPr>
          <w:b w:val="0"/>
          <w:bCs/>
        </w:rPr>
        <w:t xml:space="preserve"> La variable </w:t>
      </w:r>
      <w:proofErr w:type="spellStart"/>
      <w:r w:rsidR="00FA620A" w:rsidRPr="00FC71B3">
        <w:rPr>
          <w:b w:val="0"/>
          <w:bCs/>
          <w:i/>
        </w:rPr>
        <w:t>AMB</w:t>
      </w:r>
      <w:r w:rsidR="00FA620A" w:rsidRPr="00FC71B3">
        <w:rPr>
          <w:b w:val="0"/>
          <w:bCs/>
          <w:i/>
          <w:vertAlign w:val="subscript"/>
        </w:rPr>
        <w:t>j</w:t>
      </w:r>
      <w:proofErr w:type="spellEnd"/>
      <w:r w:rsidR="005B067F">
        <w:rPr>
          <w:b w:val="0"/>
          <w:bCs/>
          <w:lang w:val="es-MX"/>
        </w:rPr>
        <w:t>,</w:t>
      </w:r>
      <w:r w:rsidR="00FA620A" w:rsidRPr="00FC71B3">
        <w:rPr>
          <w:b w:val="0"/>
          <w:bCs/>
          <w:lang w:val="es-MX"/>
        </w:rPr>
        <w:t xml:space="preserve"> </w:t>
      </w:r>
      <w:r w:rsidR="00A01E16">
        <w:rPr>
          <w:b w:val="0"/>
          <w:bCs/>
          <w:lang w:val="es-MX"/>
        </w:rPr>
        <w:t xml:space="preserve">para el mercado que se conecta al SIN, </w:t>
      </w:r>
      <w:r w:rsidR="009F2FC2">
        <w:rPr>
          <w:b w:val="0"/>
          <w:bCs/>
          <w:lang w:val="es-MX"/>
        </w:rPr>
        <w:t xml:space="preserve">se calculará con la fórmula </w:t>
      </w:r>
      <w:r w:rsidR="00FA620A" w:rsidRPr="00FC71B3">
        <w:rPr>
          <w:b w:val="0"/>
          <w:bCs/>
          <w:lang w:val="es-MX"/>
        </w:rPr>
        <w:t xml:space="preserve">definida en el numeral </w:t>
      </w:r>
      <w:r w:rsidR="00756FCB" w:rsidRPr="00FC71B3">
        <w:rPr>
          <w:b w:val="0"/>
          <w:bCs/>
          <w:lang w:val="es-MX"/>
        </w:rPr>
        <w:t xml:space="preserve">4.1.5 de la </w:t>
      </w:r>
      <w:r w:rsidR="00756FCB" w:rsidRPr="00FC71B3">
        <w:rPr>
          <w:b w:val="0"/>
          <w:bCs/>
        </w:rPr>
        <w:t xml:space="preserve">Resolución CREG 015 de 2018, </w:t>
      </w:r>
      <w:r w:rsidR="000674BA" w:rsidRPr="00001B70">
        <w:rPr>
          <w:b w:val="0"/>
          <w:bCs/>
        </w:rPr>
        <w:t xml:space="preserve">sustituyendo </w:t>
      </w:r>
      <w:r w:rsidR="00AE5962" w:rsidRPr="00001B70">
        <w:rPr>
          <w:b w:val="0"/>
          <w:bCs/>
        </w:rPr>
        <w:t xml:space="preserve">el </w:t>
      </w:r>
      <w:r w:rsidR="000674BA" w:rsidRPr="00001B70">
        <w:rPr>
          <w:b w:val="0"/>
          <w:bCs/>
        </w:rPr>
        <w:t>IPP de</w:t>
      </w:r>
      <w:r w:rsidR="00E17F4B" w:rsidRPr="00001B70">
        <w:rPr>
          <w:b w:val="0"/>
          <w:bCs/>
        </w:rPr>
        <w:t xml:space="preserve"> diciembre de</w:t>
      </w:r>
      <w:r w:rsidR="00BF0849" w:rsidRPr="00001B70">
        <w:rPr>
          <w:b w:val="0"/>
          <w:bCs/>
        </w:rPr>
        <w:t xml:space="preserve"> 2016, </w:t>
      </w:r>
      <w:r w:rsidR="00BF0849" w:rsidRPr="00001B70">
        <w:rPr>
          <w:b w:val="0"/>
          <w:bCs/>
          <w:i/>
          <w:iCs/>
        </w:rPr>
        <w:t>IPP</w:t>
      </w:r>
      <w:r w:rsidR="00BF0849" w:rsidRPr="00001B70">
        <w:rPr>
          <w:b w:val="0"/>
          <w:bCs/>
          <w:i/>
          <w:iCs/>
          <w:vertAlign w:val="subscript"/>
        </w:rPr>
        <w:t>2016</w:t>
      </w:r>
      <w:r w:rsidR="00BF0849" w:rsidRPr="00001B70">
        <w:rPr>
          <w:b w:val="0"/>
          <w:bCs/>
        </w:rPr>
        <w:t>, por el IPP de</w:t>
      </w:r>
      <w:r w:rsidR="000674BA" w:rsidRPr="00001B70">
        <w:rPr>
          <w:b w:val="0"/>
          <w:bCs/>
        </w:rPr>
        <w:t xml:space="preserve"> </w:t>
      </w:r>
      <w:r w:rsidR="00A17594" w:rsidRPr="00001B70">
        <w:rPr>
          <w:b w:val="0"/>
          <w:bCs/>
        </w:rPr>
        <w:t>diciembre de 2017</w:t>
      </w:r>
      <w:r w:rsidR="00BF0849" w:rsidRPr="00001B70">
        <w:rPr>
          <w:b w:val="0"/>
          <w:bCs/>
        </w:rPr>
        <w:t>.</w:t>
      </w:r>
      <w:bookmarkEnd w:id="12"/>
    </w:p>
    <w:p w14:paraId="06AB5F07" w14:textId="457861BC" w:rsidR="0078724E" w:rsidRPr="00265836" w:rsidRDefault="004961C1" w:rsidP="00D53F23">
      <w:r w:rsidRPr="004961C1">
        <w:t>La variable de factor ambiental</w:t>
      </w:r>
      <w:r w:rsidR="0078724E" w:rsidRPr="004961C1">
        <w:t xml:space="preserve"> para </w:t>
      </w:r>
      <w:r w:rsidRPr="004961C1">
        <w:t xml:space="preserve">estimar el AOM de </w:t>
      </w:r>
      <w:r w:rsidR="0078724E" w:rsidRPr="004961C1">
        <w:t>las nuevas inversiones</w:t>
      </w:r>
      <w:r w:rsidR="00D00BF1" w:rsidRPr="004961C1">
        <w:t>,</w:t>
      </w:r>
      <w:r w:rsidR="0078724E" w:rsidRPr="004961C1">
        <w:t xml:space="preserve"> utilizada en el numeral 4.2 del anexo general de la Resolución CREG 015 de 2018</w:t>
      </w:r>
      <w:r w:rsidR="00D00BF1" w:rsidRPr="004961C1">
        <w:t>,</w:t>
      </w:r>
      <w:r w:rsidR="0078724E" w:rsidRPr="004961C1">
        <w:t xml:space="preserve"> se calcula con la siguiente fórmula:</w:t>
      </w:r>
    </w:p>
    <w:p w14:paraId="77693EE5" w14:textId="77777777" w:rsidR="0078724E" w:rsidRPr="00265836" w:rsidRDefault="00232342" w:rsidP="0078724E">
      <w:pPr>
        <w:tabs>
          <w:tab w:val="left" w:pos="0"/>
        </w:tabs>
        <w:rPr>
          <w:iCs/>
        </w:rPr>
      </w:pPr>
      <m:oMathPara>
        <m:oMath>
          <m:sSub>
            <m:sSubPr>
              <m:ctrlPr>
                <w:rPr>
                  <w:rFonts w:ascii="Cambria Math" w:hAnsi="Cambria Math"/>
                  <w:i/>
                  <w:iCs/>
                </w:rPr>
              </m:ctrlPr>
            </m:sSubPr>
            <m:e>
              <m:r>
                <w:rPr>
                  <w:rFonts w:ascii="Cambria Math" w:hAnsi="Cambria Math"/>
                </w:rPr>
                <m:t>fAMB</m:t>
              </m:r>
            </m:e>
            <m:sub>
              <m:r>
                <w:rPr>
                  <w:rFonts w:ascii="Cambria Math" w:hAnsi="Cambria Math"/>
                </w:rPr>
                <m:t>j</m:t>
              </m:r>
            </m:sub>
          </m:sSub>
          <m:r>
            <w:rPr>
              <w:rFonts w:ascii="Cambria Math" w:hAnsi="Cambria Math"/>
            </w:rPr>
            <m:t>=</m:t>
          </m:r>
          <m:f>
            <m:fPr>
              <m:ctrlPr>
                <w:rPr>
                  <w:rFonts w:ascii="Cambria Math" w:hAnsi="Cambria Math"/>
                  <w:i/>
                  <w:iCs/>
                </w:rPr>
              </m:ctrlPr>
            </m:fPr>
            <m:num>
              <m:sSub>
                <m:sSubPr>
                  <m:ctrlPr>
                    <w:rPr>
                      <w:rFonts w:ascii="Cambria Math" w:hAnsi="Cambria Math"/>
                      <w:i/>
                      <w:lang w:val="es-MX"/>
                    </w:rPr>
                  </m:ctrlPr>
                </m:sSubPr>
                <m:e>
                  <m:r>
                    <w:rPr>
                      <w:rFonts w:ascii="Cambria Math" w:hAnsi="Cambria Math"/>
                      <w:lang w:val="es-MX"/>
                    </w:rPr>
                    <m:t>AOMbase</m:t>
                  </m:r>
                </m:e>
                <m:sub>
                  <m:r>
                    <w:rPr>
                      <w:rFonts w:ascii="Cambria Math" w:hAnsi="Cambria Math"/>
                      <w:lang w:val="es-MX"/>
                    </w:rPr>
                    <m:t>j</m:t>
                  </m:r>
                </m:sub>
              </m:sSub>
            </m:num>
            <m:den>
              <m:sSub>
                <m:sSubPr>
                  <m:ctrlPr>
                    <w:rPr>
                      <w:rFonts w:ascii="Cambria Math" w:hAnsi="Cambria Math"/>
                      <w:i/>
                      <w:lang w:val="es-MX"/>
                    </w:rPr>
                  </m:ctrlPr>
                </m:sSubPr>
                <m:e>
                  <m:r>
                    <w:rPr>
                      <w:rFonts w:ascii="Cambria Math" w:hAnsi="Cambria Math"/>
                      <w:lang w:val="es-MX"/>
                    </w:rPr>
                    <m:t>AOMbase</m:t>
                  </m:r>
                </m:e>
                <m:sub>
                  <m:r>
                    <w:rPr>
                      <w:rFonts w:ascii="Cambria Math" w:hAnsi="Cambria Math"/>
                      <w:lang w:val="es-MX"/>
                    </w:rPr>
                    <m:t>j</m:t>
                  </m:r>
                </m:sub>
              </m:sSub>
              <m:r>
                <w:rPr>
                  <w:rFonts w:ascii="Cambria Math" w:hAnsi="Cambria Math"/>
                  <w:lang w:val="es-MX"/>
                </w:rPr>
                <m:t>-</m:t>
              </m:r>
              <m:sSub>
                <m:sSubPr>
                  <m:ctrlPr>
                    <w:rPr>
                      <w:rFonts w:ascii="Cambria Math" w:hAnsi="Cambria Math"/>
                      <w:i/>
                      <w:lang w:val="es-MX"/>
                    </w:rPr>
                  </m:ctrlPr>
                </m:sSubPr>
                <m:e>
                  <m:r>
                    <w:rPr>
                      <w:rFonts w:ascii="Cambria Math" w:hAnsi="Cambria Math"/>
                      <w:lang w:val="es-MX"/>
                    </w:rPr>
                    <m:t>AMB</m:t>
                  </m:r>
                </m:e>
                <m:sub>
                  <m:r>
                    <w:rPr>
                      <w:rFonts w:ascii="Cambria Math" w:hAnsi="Cambria Math"/>
                      <w:lang w:val="es-MX"/>
                    </w:rPr>
                    <m:t>j</m:t>
                  </m:r>
                </m:sub>
              </m:sSub>
            </m:den>
          </m:f>
        </m:oMath>
      </m:oMathPara>
    </w:p>
    <w:p w14:paraId="1B9ECF9B" w14:textId="66F248EF" w:rsidR="0078724E" w:rsidRDefault="0078724E" w:rsidP="009B36A7">
      <w:pPr>
        <w:ind w:left="1985" w:hanging="1418"/>
        <w:rPr>
          <w:i/>
          <w:iCs/>
        </w:rPr>
      </w:pPr>
      <w:proofErr w:type="spellStart"/>
      <w:r w:rsidRPr="00202FD4">
        <w:rPr>
          <w:i/>
          <w:iCs/>
        </w:rPr>
        <w:t>fAMB</w:t>
      </w:r>
      <w:r w:rsidRPr="00202FD4">
        <w:rPr>
          <w:i/>
          <w:iCs/>
          <w:vertAlign w:val="subscript"/>
        </w:rPr>
        <w:t>j</w:t>
      </w:r>
      <w:proofErr w:type="spellEnd"/>
      <w:r w:rsidRPr="00202FD4">
        <w:rPr>
          <w:iCs/>
        </w:rPr>
        <w:t>:</w:t>
      </w:r>
      <w:r w:rsidRPr="00202FD4">
        <w:rPr>
          <w:iCs/>
        </w:rPr>
        <w:tab/>
        <w:t xml:space="preserve">Factor ambiental para las nuevas inversiones del OR </w:t>
      </w:r>
      <w:r w:rsidRPr="00202FD4">
        <w:rPr>
          <w:i/>
          <w:iCs/>
        </w:rPr>
        <w:t>j</w:t>
      </w:r>
    </w:p>
    <w:p w14:paraId="0932C9B4" w14:textId="5C1F58B4" w:rsidR="00DC5571" w:rsidRPr="009B36A7" w:rsidRDefault="00DC5571" w:rsidP="009B36A7">
      <w:pPr>
        <w:ind w:left="1985" w:hanging="1418"/>
        <w:rPr>
          <w:i/>
          <w:iCs/>
        </w:rPr>
      </w:pPr>
      <w:proofErr w:type="spellStart"/>
      <w:r w:rsidRPr="009B36A7">
        <w:rPr>
          <w:i/>
          <w:iCs/>
        </w:rPr>
        <w:lastRenderedPageBreak/>
        <w:t>AOMbase</w:t>
      </w:r>
      <w:r w:rsidRPr="00C26AB7">
        <w:rPr>
          <w:i/>
          <w:iCs/>
          <w:vertAlign w:val="subscript"/>
        </w:rPr>
        <w:t>j</w:t>
      </w:r>
      <w:proofErr w:type="spellEnd"/>
      <w:r w:rsidRPr="009B36A7">
        <w:rPr>
          <w:i/>
          <w:iCs/>
        </w:rPr>
        <w:t>:</w:t>
      </w:r>
      <w:r w:rsidRPr="009B36A7">
        <w:rPr>
          <w:i/>
          <w:iCs/>
        </w:rPr>
        <w:tab/>
      </w:r>
      <w:r w:rsidRPr="00C26AB7">
        <w:t>Valor del AOM base para e</w:t>
      </w:r>
      <w:r w:rsidRPr="00814D7E">
        <w:t xml:space="preserve">l OR </w:t>
      </w:r>
      <w:r w:rsidRPr="009B36A7">
        <w:rPr>
          <w:i/>
          <w:iCs/>
        </w:rPr>
        <w:t>j</w:t>
      </w:r>
      <w:r w:rsidR="00C26AB7" w:rsidRPr="00814D7E">
        <w:t xml:space="preserve">, calculado de acuerdo con </w:t>
      </w:r>
      <w:r w:rsidR="00814D7E" w:rsidRPr="00814D7E">
        <w:t>lo definido en el</w:t>
      </w:r>
      <w:r w:rsidR="00C26AB7" w:rsidRPr="00814D7E">
        <w:t xml:space="preserve"> artículo </w:t>
      </w:r>
      <w:r w:rsidR="003E345B" w:rsidRPr="00814D7E">
        <w:fldChar w:fldCharType="begin"/>
      </w:r>
      <w:r w:rsidR="003E345B" w:rsidRPr="00814D7E">
        <w:instrText xml:space="preserve"> REF _Ref109375046 \r \h \t</w:instrText>
      </w:r>
      <w:r w:rsidR="00814D7E">
        <w:instrText xml:space="preserve"> \* MERGEFORMAT </w:instrText>
      </w:r>
      <w:r w:rsidR="003E345B" w:rsidRPr="00814D7E">
        <w:fldChar w:fldCharType="separate"/>
      </w:r>
      <w:r w:rsidR="00232342">
        <w:t>11</w:t>
      </w:r>
      <w:r w:rsidR="003E345B" w:rsidRPr="00814D7E">
        <w:fldChar w:fldCharType="end"/>
      </w:r>
      <w:r w:rsidR="00814D7E">
        <w:t>.</w:t>
      </w:r>
    </w:p>
    <w:p w14:paraId="13B49B34" w14:textId="1575FC06" w:rsidR="00A95622" w:rsidRDefault="0027097E" w:rsidP="00E35C3D">
      <w:pPr>
        <w:pStyle w:val="Artculo"/>
        <w:spacing w:before="360" w:after="0"/>
        <w:ind w:left="0"/>
        <w:outlineLvl w:val="1"/>
        <w:rPr>
          <w:b w:val="0"/>
          <w:bCs/>
        </w:rPr>
      </w:pPr>
      <w:r w:rsidRPr="0027097E">
        <w:t>Índices de pérdidas</w:t>
      </w:r>
      <w:r>
        <w:rPr>
          <w:b w:val="0"/>
          <w:bCs/>
        </w:rPr>
        <w:t>.</w:t>
      </w:r>
      <w:r w:rsidR="00682342">
        <w:rPr>
          <w:b w:val="0"/>
          <w:bCs/>
        </w:rPr>
        <w:t xml:space="preserve"> </w:t>
      </w:r>
      <w:r w:rsidR="00D847A6" w:rsidRPr="00D847A6">
        <w:rPr>
          <w:b w:val="0"/>
          <w:bCs/>
        </w:rPr>
        <w:t xml:space="preserve">Para </w:t>
      </w:r>
      <w:r w:rsidR="00A01E16">
        <w:rPr>
          <w:b w:val="0"/>
          <w:bCs/>
        </w:rPr>
        <w:t>los nuevos mercados de comercia</w:t>
      </w:r>
      <w:r w:rsidR="00A01E16">
        <w:rPr>
          <w:b w:val="0"/>
          <w:bCs/>
        </w:rPr>
        <w:softHyphen/>
        <w:t>lización</w:t>
      </w:r>
      <w:r w:rsidR="00A01E16" w:rsidRPr="00D847A6">
        <w:rPr>
          <w:b w:val="0"/>
          <w:bCs/>
        </w:rPr>
        <w:t xml:space="preserve"> </w:t>
      </w:r>
      <w:r w:rsidR="00A01E16">
        <w:rPr>
          <w:b w:val="0"/>
          <w:bCs/>
        </w:rPr>
        <w:t xml:space="preserve">de </w:t>
      </w:r>
      <w:r w:rsidR="00D847A6" w:rsidRPr="00D847A6">
        <w:rPr>
          <w:b w:val="0"/>
          <w:bCs/>
        </w:rPr>
        <w:t xml:space="preserve">las empresas </w:t>
      </w:r>
      <w:r w:rsidR="00D847A6">
        <w:rPr>
          <w:b w:val="0"/>
          <w:bCs/>
        </w:rPr>
        <w:t xml:space="preserve">que se trasladan </w:t>
      </w:r>
      <w:r w:rsidR="00D847A6" w:rsidRPr="00D847A6">
        <w:rPr>
          <w:b w:val="0"/>
          <w:bCs/>
        </w:rPr>
        <w:t xml:space="preserve">al SIN, </w:t>
      </w:r>
      <w:r w:rsidR="00B161B3">
        <w:rPr>
          <w:b w:val="0"/>
          <w:bCs/>
        </w:rPr>
        <w:t>se tomará</w:t>
      </w:r>
      <w:r w:rsidR="002B16C8">
        <w:rPr>
          <w:b w:val="0"/>
          <w:bCs/>
        </w:rPr>
        <w:t>n</w:t>
      </w:r>
      <w:r w:rsidR="00B161B3">
        <w:rPr>
          <w:b w:val="0"/>
          <w:bCs/>
        </w:rPr>
        <w:t xml:space="preserve"> como índice</w:t>
      </w:r>
      <w:r w:rsidR="00A95622">
        <w:rPr>
          <w:b w:val="0"/>
          <w:bCs/>
        </w:rPr>
        <w:t>s</w:t>
      </w:r>
      <w:r w:rsidR="00B161B3">
        <w:rPr>
          <w:b w:val="0"/>
          <w:bCs/>
        </w:rPr>
        <w:t xml:space="preserve"> de pérdidas </w:t>
      </w:r>
      <w:r w:rsidR="002209A4">
        <w:rPr>
          <w:b w:val="0"/>
          <w:bCs/>
        </w:rPr>
        <w:t xml:space="preserve">eficientes </w:t>
      </w:r>
      <w:r w:rsidR="00A95622">
        <w:rPr>
          <w:b w:val="0"/>
          <w:bCs/>
        </w:rPr>
        <w:t>los siguientes:</w:t>
      </w:r>
    </w:p>
    <w:p w14:paraId="70D99132" w14:textId="2E9C6418" w:rsidR="00AF29D7" w:rsidRDefault="00666177" w:rsidP="00DE0301">
      <w:pPr>
        <w:ind w:left="1418" w:hanging="1418"/>
      </w:pPr>
      <w:r w:rsidRPr="006702EC">
        <w:rPr>
          <w:i/>
          <w:iCs/>
        </w:rPr>
        <w:t>P</w:t>
      </w:r>
      <w:r w:rsidR="00EF7C88" w:rsidRPr="006702EC">
        <w:rPr>
          <w:i/>
          <w:iCs/>
        </w:rPr>
        <w:t>e</w:t>
      </w:r>
      <w:r w:rsidR="00EF7C88" w:rsidRPr="006702EC">
        <w:rPr>
          <w:i/>
          <w:iCs/>
          <w:vertAlign w:val="subscript"/>
        </w:rPr>
        <w:t>j</w:t>
      </w:r>
      <w:r w:rsidRPr="006702EC">
        <w:rPr>
          <w:i/>
          <w:iCs/>
          <w:vertAlign w:val="subscript"/>
        </w:rPr>
        <w:t>,4,m,t</w:t>
      </w:r>
      <w:r w:rsidR="000063E4">
        <w:t xml:space="preserve">: </w:t>
      </w:r>
      <w:r w:rsidR="000063E4">
        <w:tab/>
      </w:r>
      <w:r w:rsidR="00455734">
        <w:t xml:space="preserve">0,25%, mientras </w:t>
      </w:r>
      <w:r w:rsidR="008E2397">
        <w:t xml:space="preserve">la empresa que se traslada al SIN </w:t>
      </w:r>
      <w:r w:rsidR="0014382F">
        <w:t>registr</w:t>
      </w:r>
      <w:r w:rsidR="00455734">
        <w:t xml:space="preserve">a las fronteras de distribución que </w:t>
      </w:r>
      <w:r w:rsidR="000D28F2">
        <w:t>permitan ob</w:t>
      </w:r>
      <w:r w:rsidR="00455734">
        <w:t>tener la info</w:t>
      </w:r>
      <w:r w:rsidR="00AE0AE8">
        <w:t xml:space="preserve">rmación </w:t>
      </w:r>
      <w:r w:rsidR="000D28F2">
        <w:t xml:space="preserve">requerida </w:t>
      </w:r>
      <w:r w:rsidR="00AE0AE8">
        <w:t>para el cálculo de esta variable por parte del LAC;</w:t>
      </w:r>
    </w:p>
    <w:p w14:paraId="3341C1DD" w14:textId="29445E09" w:rsidR="00AE0AE8" w:rsidRDefault="00AE0AE8" w:rsidP="00DE0301">
      <w:pPr>
        <w:ind w:left="1418" w:hanging="1418"/>
      </w:pPr>
      <w:r w:rsidRPr="006702EC">
        <w:rPr>
          <w:i/>
          <w:iCs/>
        </w:rPr>
        <w:t>Pe</w:t>
      </w:r>
      <w:r w:rsidRPr="006702EC">
        <w:rPr>
          <w:i/>
          <w:iCs/>
          <w:vertAlign w:val="subscript"/>
        </w:rPr>
        <w:t>j,</w:t>
      </w:r>
      <w:r w:rsidR="00C93BD0" w:rsidRPr="006702EC">
        <w:rPr>
          <w:i/>
          <w:iCs/>
          <w:vertAlign w:val="subscript"/>
        </w:rPr>
        <w:t>3</w:t>
      </w:r>
      <w:r>
        <w:t xml:space="preserve">: </w:t>
      </w:r>
      <w:r>
        <w:tab/>
      </w:r>
      <w:r w:rsidR="00A5212A">
        <w:t>1</w:t>
      </w:r>
      <w:r>
        <w:t>,</w:t>
      </w:r>
      <w:r w:rsidR="00A5212A">
        <w:t>49</w:t>
      </w:r>
      <w:r>
        <w:t>%;</w:t>
      </w:r>
    </w:p>
    <w:p w14:paraId="7EB2CF18" w14:textId="2CEB631E" w:rsidR="00AE0AE8" w:rsidRDefault="00AE0AE8" w:rsidP="00DE0301">
      <w:pPr>
        <w:ind w:left="1418" w:hanging="1418"/>
      </w:pPr>
      <w:r w:rsidRPr="006702EC">
        <w:rPr>
          <w:i/>
          <w:iCs/>
        </w:rPr>
        <w:t>Pe</w:t>
      </w:r>
      <w:r w:rsidRPr="006702EC">
        <w:rPr>
          <w:i/>
          <w:iCs/>
          <w:vertAlign w:val="subscript"/>
        </w:rPr>
        <w:t>j,</w:t>
      </w:r>
      <w:r w:rsidR="00EC714D" w:rsidRPr="006702EC">
        <w:rPr>
          <w:i/>
          <w:iCs/>
          <w:vertAlign w:val="subscript"/>
        </w:rPr>
        <w:t>2</w:t>
      </w:r>
      <w:r>
        <w:t xml:space="preserve">: </w:t>
      </w:r>
      <w:r>
        <w:tab/>
      </w:r>
      <w:r w:rsidR="00A5212A">
        <w:t>1</w:t>
      </w:r>
      <w:r>
        <w:t>,</w:t>
      </w:r>
      <w:r w:rsidR="00A5212A">
        <w:t>43</w:t>
      </w:r>
      <w:r>
        <w:t>%;</w:t>
      </w:r>
    </w:p>
    <w:p w14:paraId="3B1610BD" w14:textId="7763AFC7" w:rsidR="00AE0AE8" w:rsidRPr="0005191D" w:rsidRDefault="00AE0AE8" w:rsidP="00DE0301">
      <w:pPr>
        <w:ind w:left="1418" w:hanging="1418"/>
      </w:pPr>
      <w:r w:rsidRPr="004E526E">
        <w:rPr>
          <w:i/>
          <w:iCs/>
        </w:rPr>
        <w:t>P</w:t>
      </w:r>
      <w:r w:rsidR="00A5212A" w:rsidRPr="004E526E">
        <w:rPr>
          <w:i/>
          <w:iCs/>
        </w:rPr>
        <w:t>T</w:t>
      </w:r>
      <w:r w:rsidRPr="004E526E">
        <w:rPr>
          <w:i/>
          <w:iCs/>
          <w:vertAlign w:val="subscript"/>
        </w:rPr>
        <w:t>j,</w:t>
      </w:r>
      <w:r w:rsidR="00A5212A" w:rsidRPr="004E526E">
        <w:rPr>
          <w:i/>
          <w:iCs/>
          <w:vertAlign w:val="subscript"/>
        </w:rPr>
        <w:t>1</w:t>
      </w:r>
      <w:r w:rsidRPr="004E526E">
        <w:t xml:space="preserve">: </w:t>
      </w:r>
      <w:r w:rsidRPr="004E526E">
        <w:tab/>
      </w:r>
      <w:r w:rsidR="004E526E" w:rsidRPr="004E526E">
        <w:t>4</w:t>
      </w:r>
      <w:r w:rsidRPr="004E526E">
        <w:t>,</w:t>
      </w:r>
      <w:r w:rsidR="004E526E" w:rsidRPr="004E526E">
        <w:t>65</w:t>
      </w:r>
      <w:r w:rsidRPr="004E526E">
        <w:t>%;</w:t>
      </w:r>
    </w:p>
    <w:p w14:paraId="75ABDB68" w14:textId="6EAED65A" w:rsidR="00233EFF" w:rsidRDefault="00D22D45" w:rsidP="00233EFF">
      <w:pPr>
        <w:pStyle w:val="Artculo"/>
        <w:spacing w:before="360" w:after="0"/>
        <w:ind w:left="0"/>
        <w:outlineLvl w:val="1"/>
        <w:rPr>
          <w:b w:val="0"/>
          <w:bCs/>
        </w:rPr>
      </w:pPr>
      <w:r>
        <w:t>Remuneración de planes de reducción o mantenimiento de pérdidas.</w:t>
      </w:r>
      <w:r w:rsidRPr="004854CA">
        <w:rPr>
          <w:b w:val="0"/>
          <w:bCs/>
        </w:rPr>
        <w:t xml:space="preserve"> </w:t>
      </w:r>
      <w:r w:rsidR="000E19B2" w:rsidRPr="004854CA">
        <w:rPr>
          <w:b w:val="0"/>
          <w:bCs/>
        </w:rPr>
        <w:t xml:space="preserve">El valor de la </w:t>
      </w:r>
      <w:r w:rsidR="00404396" w:rsidRPr="004854CA">
        <w:rPr>
          <w:b w:val="0"/>
          <w:bCs/>
        </w:rPr>
        <w:t xml:space="preserve">variable </w:t>
      </w:r>
      <w:r w:rsidR="00404396" w:rsidRPr="00144EF3">
        <w:rPr>
          <w:b w:val="0"/>
          <w:bCs/>
          <w:i/>
          <w:iCs/>
        </w:rPr>
        <w:t>CPROG</w:t>
      </w:r>
      <w:r w:rsidR="00404396" w:rsidRPr="004854CA">
        <w:rPr>
          <w:b w:val="0"/>
          <w:bCs/>
        </w:rPr>
        <w:t xml:space="preserve"> </w:t>
      </w:r>
      <w:r w:rsidR="000E19B2" w:rsidRPr="004854CA">
        <w:rPr>
          <w:b w:val="0"/>
          <w:bCs/>
        </w:rPr>
        <w:t xml:space="preserve">para las empresas que se </w:t>
      </w:r>
      <w:r w:rsidR="004854CA" w:rsidRPr="004854CA">
        <w:rPr>
          <w:b w:val="0"/>
          <w:bCs/>
        </w:rPr>
        <w:t>trasladan</w:t>
      </w:r>
      <w:r w:rsidR="000E19B2" w:rsidRPr="004854CA">
        <w:rPr>
          <w:b w:val="0"/>
          <w:bCs/>
        </w:rPr>
        <w:t xml:space="preserve"> al SIN</w:t>
      </w:r>
      <w:r w:rsidR="004325DC">
        <w:rPr>
          <w:b w:val="0"/>
          <w:bCs/>
        </w:rPr>
        <w:t xml:space="preserve">, para el nuevo mercado de comercialización para el que se solicita </w:t>
      </w:r>
      <w:r w:rsidR="00A01E16">
        <w:rPr>
          <w:b w:val="0"/>
          <w:bCs/>
        </w:rPr>
        <w:t>aprobación de ingresos</w:t>
      </w:r>
      <w:r w:rsidR="004325DC">
        <w:rPr>
          <w:b w:val="0"/>
          <w:bCs/>
        </w:rPr>
        <w:t xml:space="preserve">, </w:t>
      </w:r>
      <w:r w:rsidR="004854CA" w:rsidRPr="004854CA">
        <w:rPr>
          <w:b w:val="0"/>
          <w:bCs/>
        </w:rPr>
        <w:t>s</w:t>
      </w:r>
      <w:r w:rsidR="00233EFF" w:rsidRPr="00233EFF">
        <w:rPr>
          <w:b w:val="0"/>
          <w:bCs/>
        </w:rPr>
        <w:t>e toma igual a cero.</w:t>
      </w:r>
    </w:p>
    <w:p w14:paraId="20943629" w14:textId="4186933F" w:rsidR="00A21158" w:rsidRPr="00233EFF" w:rsidRDefault="00177A33" w:rsidP="00A21158">
      <w:r>
        <w:t xml:space="preserve">A partir de la entrada en vigencia de la resolución que </w:t>
      </w:r>
      <w:r w:rsidR="00B17D3F">
        <w:t>apruebe el ingreso de distribución, la empresa que se traslada al SIN deberá reportar</w:t>
      </w:r>
      <w:r w:rsidR="009A0EBD">
        <w:t xml:space="preserve">, dentro de la información de AOM </w:t>
      </w:r>
      <w:r w:rsidR="00FA3D52">
        <w:t xml:space="preserve">a entregar </w:t>
      </w:r>
      <w:r w:rsidR="00711D37">
        <w:t>cada año</w:t>
      </w:r>
      <w:r w:rsidR="00FA3D52">
        <w:t>,</w:t>
      </w:r>
      <w:r w:rsidR="00711D37">
        <w:t xml:space="preserve"> </w:t>
      </w:r>
      <w:r w:rsidR="00B17D3F">
        <w:t>una cuenta separad</w:t>
      </w:r>
      <w:r w:rsidR="00C04BF4">
        <w:t xml:space="preserve">a </w:t>
      </w:r>
      <w:r w:rsidR="00FA3D52">
        <w:t xml:space="preserve">donde se indiquen </w:t>
      </w:r>
      <w:r w:rsidR="00C04BF4">
        <w:t>los valores de costos y gastos de AOM destinados a los programas de gestión de pérd</w:t>
      </w:r>
      <w:r w:rsidR="00711D37">
        <w:t>idas</w:t>
      </w:r>
      <w:r w:rsidR="004325DC">
        <w:t xml:space="preserve"> en el nuevo mercado</w:t>
      </w:r>
      <w:r w:rsidR="001531F2">
        <w:t>.</w:t>
      </w:r>
    </w:p>
    <w:p w14:paraId="74DE999A" w14:textId="4462385A" w:rsidR="00E35C3D" w:rsidRPr="00DB05DD" w:rsidRDefault="00E35C3D" w:rsidP="00E35C3D">
      <w:pPr>
        <w:pStyle w:val="Artculo"/>
        <w:spacing w:before="360" w:after="0"/>
        <w:ind w:left="0"/>
        <w:outlineLvl w:val="1"/>
        <w:rPr>
          <w:b w:val="0"/>
          <w:bCs/>
        </w:rPr>
      </w:pPr>
      <w:r w:rsidRPr="00BF69C9">
        <w:t>Ajuste de ingresos para el primer año de aplicación</w:t>
      </w:r>
      <w:r>
        <w:t xml:space="preserve">. </w:t>
      </w:r>
      <w:r w:rsidRPr="00DB05DD">
        <w:rPr>
          <w:b w:val="0"/>
          <w:bCs/>
        </w:rPr>
        <w:t>La variable</w:t>
      </w:r>
      <w:r w:rsidR="008923B5">
        <w:rPr>
          <w:b w:val="0"/>
          <w:bCs/>
        </w:rPr>
        <w:t xml:space="preserve"> </w:t>
      </w:r>
      <w:proofErr w:type="spellStart"/>
      <w:r w:rsidR="008923B5" w:rsidRPr="00E61CB7">
        <w:rPr>
          <w:b w:val="0"/>
          <w:bCs/>
          <w:i/>
          <w:lang w:val="es-ES_tradnl"/>
        </w:rPr>
        <w:t>IMA</w:t>
      </w:r>
      <w:r w:rsidR="008923B5" w:rsidRPr="00E61CB7">
        <w:rPr>
          <w:b w:val="0"/>
          <w:bCs/>
          <w:i/>
          <w:vertAlign w:val="subscript"/>
          <w:lang w:val="es-ES_tradnl"/>
        </w:rPr>
        <w:t>j,n,ma</w:t>
      </w:r>
      <w:proofErr w:type="spellEnd"/>
      <w:r w:rsidR="00565280">
        <w:rPr>
          <w:b w:val="0"/>
          <w:bCs/>
        </w:rPr>
        <w:t xml:space="preserve">, del nuevo mercado que se conecta al SIN, </w:t>
      </w:r>
      <w:r w:rsidRPr="00DB05DD">
        <w:rPr>
          <w:b w:val="0"/>
          <w:bCs/>
          <w:lang w:val="es-ES_tradnl"/>
        </w:rPr>
        <w:t xml:space="preserve">requerida en el </w:t>
      </w:r>
      <w:r w:rsidRPr="007753AF">
        <w:rPr>
          <w:b w:val="0"/>
          <w:bCs/>
          <w:lang w:val="es-ES_tradnl"/>
        </w:rPr>
        <w:t xml:space="preserve">numeral 1.3.4.1 </w:t>
      </w:r>
      <w:r w:rsidR="007753AF" w:rsidRPr="007753AF">
        <w:rPr>
          <w:b w:val="0"/>
          <w:bCs/>
          <w:lang w:val="es-MX"/>
        </w:rPr>
        <w:t>del anexo general de</w:t>
      </w:r>
      <w:r w:rsidRPr="007753AF">
        <w:rPr>
          <w:b w:val="0"/>
          <w:bCs/>
          <w:lang w:val="es-ES_tradnl"/>
        </w:rPr>
        <w:t xml:space="preserve"> la</w:t>
      </w:r>
      <w:r w:rsidRPr="00DB05DD">
        <w:rPr>
          <w:b w:val="0"/>
          <w:bCs/>
          <w:lang w:val="es-ES_tradnl"/>
        </w:rPr>
        <w:t xml:space="preserve"> Resolución CREG 015 de 2018 se calculará con la siguiente fórmula:</w:t>
      </w:r>
    </w:p>
    <w:p w14:paraId="1AB7A434" w14:textId="02ACE407" w:rsidR="00E35C3D" w:rsidRDefault="00232342" w:rsidP="00E35C3D">
      <m:oMathPara>
        <m:oMath>
          <m:sSub>
            <m:sSubPr>
              <m:ctrlPr>
                <w:rPr>
                  <w:rFonts w:ascii="Cambria Math" w:hAnsi="Cambria Math"/>
                  <w:i/>
                  <w:lang w:val="es-ES_tradnl"/>
                </w:rPr>
              </m:ctrlPr>
            </m:sSubPr>
            <m:e>
              <m:r>
                <w:rPr>
                  <w:rFonts w:ascii="Cambria Math" w:hAnsi="Cambria Math"/>
                  <w:lang w:val="es-ES_tradnl"/>
                </w:rPr>
                <m:t>IMA</m:t>
              </m:r>
            </m:e>
            <m:sub>
              <m:r>
                <w:rPr>
                  <w:rFonts w:ascii="Cambria Math" w:hAnsi="Cambria Math"/>
                  <w:lang w:val="es-ES_tradnl"/>
                </w:rPr>
                <m:t>j,n,ma</m:t>
              </m:r>
            </m:sub>
          </m:sSub>
          <m:r>
            <w:rPr>
              <w:rFonts w:ascii="Cambria Math" w:hAnsi="Cambria Math"/>
              <w:lang w:val="es-ES_tradnl"/>
            </w:rPr>
            <m:t>=</m:t>
          </m:r>
          <m:sSub>
            <m:sSubPr>
              <m:ctrlPr>
                <w:rPr>
                  <w:rFonts w:ascii="Cambria Math" w:hAnsi="Cambria Math"/>
                  <w:i/>
                  <w:lang w:val="es-ES_tradnl"/>
                </w:rPr>
              </m:ctrlPr>
            </m:sSubPr>
            <m:e>
              <m:r>
                <w:rPr>
                  <w:rFonts w:ascii="Cambria Math" w:hAnsi="Cambria Math"/>
                  <w:lang w:val="es-ES_tradnl"/>
                </w:rPr>
                <m:t>IMA</m:t>
              </m:r>
            </m:e>
            <m:sub>
              <m:r>
                <w:rPr>
                  <w:rFonts w:ascii="Cambria Math" w:hAnsi="Cambria Math"/>
                  <w:lang w:val="es-ES_tradnl"/>
                </w:rPr>
                <m:t>j,total,ma</m:t>
              </m:r>
            </m:sub>
          </m:sSub>
          <m:r>
            <w:rPr>
              <w:rFonts w:ascii="Cambria Math" w:hAnsi="Cambria Math"/>
              <w:lang w:val="es-ES_tradnl"/>
            </w:rPr>
            <m:t>*</m:t>
          </m:r>
          <m:f>
            <m:fPr>
              <m:ctrlPr>
                <w:rPr>
                  <w:rFonts w:ascii="Cambria Math" w:hAnsi="Cambria Math"/>
                  <w:i/>
                  <w:lang w:val="es-ES_tradnl"/>
                </w:rPr>
              </m:ctrlPr>
            </m:fPr>
            <m:num>
              <m:sSub>
                <m:sSubPr>
                  <m:ctrlPr>
                    <w:rPr>
                      <w:rFonts w:ascii="Cambria Math" w:hAnsi="Cambria Math"/>
                      <w:i/>
                      <w:lang w:val="es-ES_tradnl"/>
                    </w:rPr>
                  </m:ctrlPr>
                </m:sSubPr>
                <m:e>
                  <m:r>
                    <w:rPr>
                      <w:rFonts w:ascii="Cambria Math" w:hAnsi="Cambria Math"/>
                      <w:lang w:val="es-ES_tradnl"/>
                    </w:rPr>
                    <m:t>IMN</m:t>
                  </m:r>
                </m:e>
                <m:sub>
                  <m:r>
                    <w:rPr>
                      <w:rFonts w:ascii="Cambria Math" w:hAnsi="Cambria Math"/>
                      <w:lang w:val="es-ES_tradnl"/>
                    </w:rPr>
                    <m:t>j,n,ma</m:t>
                  </m:r>
                </m:sub>
              </m:sSub>
            </m:num>
            <m:den>
              <m:nary>
                <m:naryPr>
                  <m:chr m:val="∑"/>
                  <m:limLoc m:val="subSup"/>
                  <m:ctrlPr>
                    <w:rPr>
                      <w:rFonts w:ascii="Cambria Math" w:hAnsi="Cambria Math"/>
                      <w:i/>
                      <w:lang w:val="es-ES_tradnl"/>
                    </w:rPr>
                  </m:ctrlPr>
                </m:naryPr>
                <m:sub>
                  <m:r>
                    <w:rPr>
                      <w:rFonts w:ascii="Cambria Math" w:hAnsi="Cambria Math"/>
                      <w:lang w:val="es-ES_tradnl"/>
                    </w:rPr>
                    <m:t>n=1</m:t>
                  </m:r>
                </m:sub>
                <m:sup>
                  <m:r>
                    <w:rPr>
                      <w:rFonts w:ascii="Cambria Math" w:hAnsi="Cambria Math"/>
                      <w:lang w:val="es-ES_tradnl"/>
                    </w:rPr>
                    <m:t>4</m:t>
                  </m:r>
                </m:sup>
                <m:e>
                  <m:sSub>
                    <m:sSubPr>
                      <m:ctrlPr>
                        <w:rPr>
                          <w:rFonts w:ascii="Cambria Math" w:hAnsi="Cambria Math"/>
                          <w:i/>
                          <w:lang w:val="es-ES_tradnl"/>
                        </w:rPr>
                      </m:ctrlPr>
                    </m:sSubPr>
                    <m:e>
                      <m:r>
                        <w:rPr>
                          <w:rFonts w:ascii="Cambria Math" w:hAnsi="Cambria Math"/>
                          <w:lang w:val="es-ES_tradnl"/>
                        </w:rPr>
                        <m:t>IMN</m:t>
                      </m:r>
                    </m:e>
                    <m:sub>
                      <m:r>
                        <w:rPr>
                          <w:rFonts w:ascii="Cambria Math" w:hAnsi="Cambria Math"/>
                          <w:lang w:val="es-ES_tradnl"/>
                        </w:rPr>
                        <m:t>j,n,ma</m:t>
                      </m:r>
                    </m:sub>
                  </m:sSub>
                </m:e>
              </m:nary>
            </m:den>
          </m:f>
        </m:oMath>
      </m:oMathPara>
    </w:p>
    <w:p w14:paraId="12233117" w14:textId="77777777" w:rsidR="00E35C3D" w:rsidRDefault="00E35C3D" w:rsidP="00374381">
      <w:pPr>
        <w:ind w:left="1276" w:hanging="1276"/>
        <w:rPr>
          <w:lang w:val="es-ES_tradnl"/>
        </w:rPr>
      </w:pPr>
      <w:r w:rsidRPr="00BF69C9">
        <w:rPr>
          <w:lang w:val="es-ES_tradnl"/>
        </w:rPr>
        <w:t>Donde:</w:t>
      </w:r>
    </w:p>
    <w:p w14:paraId="6B1EFCCB" w14:textId="77777777" w:rsidR="00E35C3D" w:rsidRPr="00BF69C9" w:rsidRDefault="00E35C3D" w:rsidP="00374381">
      <w:pPr>
        <w:ind w:left="1276" w:hanging="1276"/>
        <w:rPr>
          <w:lang w:val="es-ES_tradnl"/>
        </w:rPr>
      </w:pPr>
      <w:proofErr w:type="spellStart"/>
      <w:r w:rsidRPr="00BF69C9">
        <w:rPr>
          <w:i/>
          <w:lang w:val="es-ES_tradnl"/>
        </w:rPr>
        <w:t>IMA</w:t>
      </w:r>
      <w:r w:rsidRPr="00BF69C9">
        <w:rPr>
          <w:i/>
          <w:vertAlign w:val="subscript"/>
          <w:lang w:val="es-ES_tradnl"/>
        </w:rPr>
        <w:t>j,n,m</w:t>
      </w:r>
      <w:r>
        <w:rPr>
          <w:i/>
          <w:vertAlign w:val="subscript"/>
          <w:lang w:val="es-ES_tradnl"/>
        </w:rPr>
        <w:t>a</w:t>
      </w:r>
      <w:proofErr w:type="spellEnd"/>
      <w:r w:rsidRPr="00BF69C9">
        <w:rPr>
          <w:lang w:val="es-ES_tradnl"/>
        </w:rPr>
        <w:t>:</w:t>
      </w:r>
      <w:r w:rsidRPr="00BF69C9">
        <w:rPr>
          <w:lang w:val="es-ES_tradnl"/>
        </w:rPr>
        <w:tab/>
        <w:t xml:space="preserve">Ingreso mensual </w:t>
      </w:r>
      <w:r>
        <w:rPr>
          <w:lang w:val="es-ES_tradnl"/>
        </w:rPr>
        <w:t xml:space="preserve">anterior </w:t>
      </w:r>
      <w:r w:rsidRPr="00BF69C9">
        <w:rPr>
          <w:lang w:val="es-ES_tradnl"/>
        </w:rPr>
        <w:t xml:space="preserve">del OR </w:t>
      </w:r>
      <w:r w:rsidRPr="00BF69C9">
        <w:rPr>
          <w:i/>
          <w:lang w:val="es-ES_tradnl"/>
        </w:rPr>
        <w:t>j</w:t>
      </w:r>
      <w:r w:rsidRPr="00BF69C9">
        <w:rPr>
          <w:lang w:val="es-ES_tradnl"/>
        </w:rPr>
        <w:t xml:space="preserve">, para </w:t>
      </w:r>
      <w:r w:rsidRPr="00BF69C9">
        <w:t>el nivel de tensión</w:t>
      </w:r>
      <w:r>
        <w:t> </w:t>
      </w:r>
      <w:r w:rsidRPr="00BF69C9">
        <w:rPr>
          <w:i/>
        </w:rPr>
        <w:t>n</w:t>
      </w:r>
      <w:r w:rsidRPr="00BF69C9">
        <w:t xml:space="preserve"> en </w:t>
      </w:r>
      <w:r w:rsidRPr="00BF69C9">
        <w:rPr>
          <w:lang w:val="es-ES_tradnl"/>
        </w:rPr>
        <w:t xml:space="preserve">el mes </w:t>
      </w:r>
      <w:r w:rsidRPr="00BF69C9">
        <w:rPr>
          <w:i/>
          <w:lang w:val="es-ES_tradnl"/>
        </w:rPr>
        <w:t>m</w:t>
      </w:r>
      <w:r>
        <w:rPr>
          <w:i/>
          <w:lang w:val="es-ES_tradnl"/>
        </w:rPr>
        <w:t>a</w:t>
      </w:r>
      <w:r w:rsidRPr="00BF69C9">
        <w:rPr>
          <w:i/>
          <w:lang w:val="es-ES_tradnl"/>
        </w:rPr>
        <w:t>.</w:t>
      </w:r>
    </w:p>
    <w:p w14:paraId="76D9B402" w14:textId="07189FB4" w:rsidR="00C35493" w:rsidRDefault="00C35493" w:rsidP="00374381">
      <w:pPr>
        <w:ind w:left="1276" w:hanging="1276"/>
        <w:rPr>
          <w:iCs/>
          <w:lang w:val="es-ES_tradnl"/>
        </w:rPr>
      </w:pPr>
      <w:proofErr w:type="spellStart"/>
      <w:proofErr w:type="gramStart"/>
      <w:r w:rsidRPr="00BF69C9">
        <w:rPr>
          <w:i/>
          <w:lang w:val="es-ES_tradnl"/>
        </w:rPr>
        <w:t>IMA</w:t>
      </w:r>
      <w:r w:rsidRPr="00BF69C9">
        <w:rPr>
          <w:i/>
          <w:vertAlign w:val="subscript"/>
          <w:lang w:val="es-ES_tradnl"/>
        </w:rPr>
        <w:t>j,</w:t>
      </w:r>
      <w:r>
        <w:rPr>
          <w:i/>
          <w:vertAlign w:val="subscript"/>
          <w:lang w:val="es-ES_tradnl"/>
        </w:rPr>
        <w:t>total</w:t>
      </w:r>
      <w:proofErr w:type="gramEnd"/>
      <w:r w:rsidRPr="00BF69C9">
        <w:rPr>
          <w:i/>
          <w:vertAlign w:val="subscript"/>
          <w:lang w:val="es-ES_tradnl"/>
        </w:rPr>
        <w:t>,m</w:t>
      </w:r>
      <w:r>
        <w:rPr>
          <w:i/>
          <w:vertAlign w:val="subscript"/>
          <w:lang w:val="es-ES_tradnl"/>
        </w:rPr>
        <w:t>a</w:t>
      </w:r>
      <w:proofErr w:type="spellEnd"/>
      <w:r w:rsidRPr="00BF69C9">
        <w:rPr>
          <w:lang w:val="es-ES_tradnl"/>
        </w:rPr>
        <w:t>:</w:t>
      </w:r>
      <w:r w:rsidRPr="00BF69C9">
        <w:rPr>
          <w:lang w:val="es-ES_tradnl"/>
        </w:rPr>
        <w:tab/>
        <w:t xml:space="preserve">Ingreso mensual </w:t>
      </w:r>
      <w:r>
        <w:rPr>
          <w:lang w:val="es-ES_tradnl"/>
        </w:rPr>
        <w:t xml:space="preserve">anterior </w:t>
      </w:r>
      <w:r w:rsidRPr="00BF69C9">
        <w:rPr>
          <w:lang w:val="es-ES_tradnl"/>
        </w:rPr>
        <w:t xml:space="preserve">del OR </w:t>
      </w:r>
      <w:r w:rsidRPr="00BF69C9">
        <w:rPr>
          <w:i/>
          <w:lang w:val="es-ES_tradnl"/>
        </w:rPr>
        <w:t>j</w:t>
      </w:r>
      <w:r w:rsidRPr="00BF69C9">
        <w:rPr>
          <w:lang w:val="es-ES_tradnl"/>
        </w:rPr>
        <w:t xml:space="preserve">, para </w:t>
      </w:r>
      <w:r>
        <w:rPr>
          <w:lang w:val="es-ES_tradnl"/>
        </w:rPr>
        <w:t xml:space="preserve">la actividad de distribución en el mes </w:t>
      </w:r>
      <w:r w:rsidRPr="00BF69C9">
        <w:rPr>
          <w:i/>
          <w:lang w:val="es-ES_tradnl"/>
        </w:rPr>
        <w:t>m</w:t>
      </w:r>
      <w:r>
        <w:rPr>
          <w:i/>
          <w:lang w:val="es-ES_tradnl"/>
        </w:rPr>
        <w:t>a</w:t>
      </w:r>
      <w:r w:rsidRPr="00A148B9">
        <w:rPr>
          <w:iCs/>
          <w:lang w:val="es-ES_tradnl"/>
        </w:rPr>
        <w:t xml:space="preserve">. </w:t>
      </w:r>
      <w:r>
        <w:rPr>
          <w:iCs/>
          <w:lang w:val="es-ES_tradnl"/>
        </w:rPr>
        <w:t>Este valor es igual al resultado de multiplicar la energía facturada en el nivel de tensión 1 por el cargo de distribución para ese nivel de tensión, de acuerdo con la Resolución CREG 091 de 2007 y sus modificaciones, y adicionándole los resultados de ingresos calculados de la misma forma para los otros niveles de tensión.</w:t>
      </w:r>
    </w:p>
    <w:p w14:paraId="37D680D1" w14:textId="46BF285E" w:rsidR="00B729C8" w:rsidRDefault="00E35C3D" w:rsidP="00374381">
      <w:pPr>
        <w:ind w:left="1276" w:hanging="1276"/>
        <w:rPr>
          <w:lang w:val="es-ES_tradnl"/>
        </w:rPr>
      </w:pPr>
      <w:proofErr w:type="spellStart"/>
      <w:r w:rsidRPr="00BF69C9">
        <w:rPr>
          <w:i/>
        </w:rPr>
        <w:t>IMN</w:t>
      </w:r>
      <w:r w:rsidRPr="00BF69C9">
        <w:rPr>
          <w:i/>
          <w:vertAlign w:val="subscript"/>
        </w:rPr>
        <w:t>j,n,m</w:t>
      </w:r>
      <w:r>
        <w:rPr>
          <w:i/>
          <w:vertAlign w:val="subscript"/>
        </w:rPr>
        <w:t>a</w:t>
      </w:r>
      <w:proofErr w:type="spellEnd"/>
      <w:r w:rsidRPr="00BF69C9">
        <w:t>:</w:t>
      </w:r>
      <w:r w:rsidRPr="00BF69C9">
        <w:tab/>
        <w:t xml:space="preserve">Ingreso mensual del OR </w:t>
      </w:r>
      <w:r w:rsidRPr="00BF69C9">
        <w:rPr>
          <w:i/>
        </w:rPr>
        <w:t>j</w:t>
      </w:r>
      <w:r w:rsidRPr="00BF69C9">
        <w:t xml:space="preserve"> para el nivel de tensión </w:t>
      </w:r>
      <w:r w:rsidRPr="00BF69C9">
        <w:rPr>
          <w:i/>
        </w:rPr>
        <w:t>n</w:t>
      </w:r>
      <w:r w:rsidRPr="00BF69C9">
        <w:t xml:space="preserve"> en el mes </w:t>
      </w:r>
      <w:proofErr w:type="spellStart"/>
      <w:r w:rsidRPr="00BF69C9">
        <w:rPr>
          <w:i/>
        </w:rPr>
        <w:t>m</w:t>
      </w:r>
      <w:r>
        <w:rPr>
          <w:i/>
        </w:rPr>
        <w:t>a</w:t>
      </w:r>
      <w:proofErr w:type="spellEnd"/>
      <w:r w:rsidRPr="00BF69C9">
        <w:t xml:space="preserve">, </w:t>
      </w:r>
      <w:r w:rsidR="00CF756B">
        <w:t>calcul</w:t>
      </w:r>
      <w:r w:rsidR="00B729C8">
        <w:t>a</w:t>
      </w:r>
      <w:r w:rsidR="00CF756B">
        <w:t>do de acuerdo con lo establecido en el numeral</w:t>
      </w:r>
      <w:r w:rsidR="00C137E0">
        <w:t xml:space="preserve"> 1.3.4.1</w:t>
      </w:r>
      <w:r w:rsidR="00C137E0" w:rsidRPr="00C137E0">
        <w:rPr>
          <w:lang w:val="es-MX"/>
        </w:rPr>
        <w:t xml:space="preserve"> </w:t>
      </w:r>
      <w:r w:rsidR="00C137E0">
        <w:rPr>
          <w:lang w:val="es-MX"/>
        </w:rPr>
        <w:t>del anexo general de</w:t>
      </w:r>
      <w:r w:rsidR="00C137E0">
        <w:rPr>
          <w:lang w:val="es-ES_tradnl"/>
        </w:rPr>
        <w:t xml:space="preserve"> la Resolución CREG 015 de 2018</w:t>
      </w:r>
      <w:r w:rsidR="00AE561A">
        <w:rPr>
          <w:lang w:val="es-ES_tradnl"/>
        </w:rPr>
        <w:t>.</w:t>
      </w:r>
    </w:p>
    <w:p w14:paraId="3771AB1E" w14:textId="7BE8A420" w:rsidR="00C46634" w:rsidRPr="004B482D" w:rsidRDefault="006C21F8" w:rsidP="00C66D08">
      <w:pPr>
        <w:pStyle w:val="Artculo"/>
        <w:spacing w:before="360" w:after="0"/>
        <w:ind w:left="0"/>
        <w:outlineLvl w:val="1"/>
        <w:rPr>
          <w:b w:val="0"/>
          <w:bCs/>
        </w:rPr>
      </w:pPr>
      <w:bookmarkStart w:id="13" w:name="_Ref109380287"/>
      <w:r>
        <w:lastRenderedPageBreak/>
        <w:t xml:space="preserve">Información para calidad del </w:t>
      </w:r>
      <w:r w:rsidR="00342BEA">
        <w:t>servicio</w:t>
      </w:r>
      <w:r>
        <w:t>.</w:t>
      </w:r>
      <w:r w:rsidRPr="00694D99">
        <w:rPr>
          <w:b w:val="0"/>
          <w:bCs/>
        </w:rPr>
        <w:t xml:space="preserve"> </w:t>
      </w:r>
      <w:r w:rsidR="000B4E72">
        <w:rPr>
          <w:b w:val="0"/>
          <w:bCs/>
        </w:rPr>
        <w:t xml:space="preserve">Con el fin de </w:t>
      </w:r>
      <w:r w:rsidR="00614805">
        <w:rPr>
          <w:b w:val="0"/>
          <w:bCs/>
        </w:rPr>
        <w:t xml:space="preserve">verificar </w:t>
      </w:r>
      <w:r w:rsidR="00C46634">
        <w:rPr>
          <w:b w:val="0"/>
          <w:bCs/>
        </w:rPr>
        <w:t>la calidad del servicio del STR</w:t>
      </w:r>
      <w:r w:rsidR="00982945">
        <w:rPr>
          <w:b w:val="0"/>
          <w:bCs/>
        </w:rPr>
        <w:t>, la empresa que se traslada al SIN</w:t>
      </w:r>
      <w:r w:rsidR="00D4348B">
        <w:rPr>
          <w:b w:val="0"/>
          <w:bCs/>
        </w:rPr>
        <w:t xml:space="preserve"> </w:t>
      </w:r>
      <w:r w:rsidR="00404EE6">
        <w:rPr>
          <w:b w:val="0"/>
          <w:bCs/>
        </w:rPr>
        <w:t>deberá cumplir con lo establecido en la Circular CREG 099 de 2021</w:t>
      </w:r>
      <w:r w:rsidR="00B323D3">
        <w:rPr>
          <w:b w:val="0"/>
          <w:bCs/>
        </w:rPr>
        <w:t xml:space="preserve">. </w:t>
      </w:r>
      <w:r w:rsidR="008C1655">
        <w:rPr>
          <w:b w:val="0"/>
          <w:bCs/>
        </w:rPr>
        <w:t>En cuanto al</w:t>
      </w:r>
      <w:r w:rsidR="004F3D4E" w:rsidRPr="004B482D">
        <w:rPr>
          <w:b w:val="0"/>
          <w:bCs/>
        </w:rPr>
        <w:t xml:space="preserve"> </w:t>
      </w:r>
      <w:r w:rsidR="003860EF" w:rsidRPr="004B482D">
        <w:rPr>
          <w:b w:val="0"/>
          <w:bCs/>
        </w:rPr>
        <w:t xml:space="preserve">numeral 1 </w:t>
      </w:r>
      <w:r w:rsidR="00FA3B11">
        <w:rPr>
          <w:b w:val="0"/>
          <w:bCs/>
        </w:rPr>
        <w:t>de esa circular</w:t>
      </w:r>
      <w:r w:rsidR="00792DA5">
        <w:rPr>
          <w:b w:val="0"/>
          <w:bCs/>
        </w:rPr>
        <w:t>,</w:t>
      </w:r>
      <w:r w:rsidR="00FA3B11">
        <w:rPr>
          <w:b w:val="0"/>
          <w:bCs/>
        </w:rPr>
        <w:t xml:space="preserve"> </w:t>
      </w:r>
      <w:r w:rsidR="00676D1D">
        <w:rPr>
          <w:b w:val="0"/>
          <w:bCs/>
        </w:rPr>
        <w:t xml:space="preserve">se entenderá que </w:t>
      </w:r>
      <w:r w:rsidR="005E0284">
        <w:rPr>
          <w:b w:val="0"/>
          <w:bCs/>
        </w:rPr>
        <w:t xml:space="preserve">se </w:t>
      </w:r>
      <w:r w:rsidR="004F3D4E" w:rsidRPr="004B482D">
        <w:rPr>
          <w:b w:val="0"/>
          <w:bCs/>
        </w:rPr>
        <w:t>hac</w:t>
      </w:r>
      <w:r w:rsidR="00B323D3" w:rsidRPr="004B482D">
        <w:rPr>
          <w:b w:val="0"/>
          <w:bCs/>
        </w:rPr>
        <w:t xml:space="preserve">e referencia </w:t>
      </w:r>
      <w:r w:rsidR="00050A4A">
        <w:rPr>
          <w:b w:val="0"/>
          <w:bCs/>
        </w:rPr>
        <w:t>a los activos del STR que entra</w:t>
      </w:r>
      <w:r w:rsidR="00906BAC">
        <w:rPr>
          <w:b w:val="0"/>
          <w:bCs/>
        </w:rPr>
        <w:t>ro</w:t>
      </w:r>
      <w:r w:rsidR="007C54E8">
        <w:rPr>
          <w:b w:val="0"/>
          <w:bCs/>
        </w:rPr>
        <w:t xml:space="preserve">n o </w:t>
      </w:r>
      <w:r w:rsidR="004325DC">
        <w:rPr>
          <w:b w:val="0"/>
          <w:bCs/>
        </w:rPr>
        <w:t xml:space="preserve">entrarán </w:t>
      </w:r>
      <w:r w:rsidR="00050A4A">
        <w:rPr>
          <w:b w:val="0"/>
          <w:bCs/>
        </w:rPr>
        <w:t>en operaci</w:t>
      </w:r>
      <w:r w:rsidR="00792DA5">
        <w:rPr>
          <w:b w:val="0"/>
          <w:bCs/>
        </w:rPr>
        <w:t xml:space="preserve">ón en el </w:t>
      </w:r>
      <w:r w:rsidR="0062491E" w:rsidRPr="004B482D">
        <w:rPr>
          <w:b w:val="0"/>
          <w:bCs/>
        </w:rPr>
        <w:t>p</w:t>
      </w:r>
      <w:r w:rsidR="000727D0">
        <w:rPr>
          <w:b w:val="0"/>
          <w:bCs/>
        </w:rPr>
        <w:t>eríodo</w:t>
      </w:r>
      <w:r w:rsidR="0062491E" w:rsidRPr="004B482D">
        <w:rPr>
          <w:b w:val="0"/>
          <w:bCs/>
        </w:rPr>
        <w:t xml:space="preserve"> comprendido entre la fecha de corte y </w:t>
      </w:r>
      <w:r w:rsidR="00F90B0E">
        <w:rPr>
          <w:b w:val="0"/>
          <w:bCs/>
        </w:rPr>
        <w:t xml:space="preserve">el mes </w:t>
      </w:r>
      <w:r w:rsidR="00FA3B11">
        <w:rPr>
          <w:b w:val="0"/>
          <w:bCs/>
        </w:rPr>
        <w:t xml:space="preserve">siguiente a la fecha de entrega </w:t>
      </w:r>
      <w:r w:rsidR="00333DEE">
        <w:rPr>
          <w:b w:val="0"/>
          <w:bCs/>
        </w:rPr>
        <w:t xml:space="preserve">al LAC </w:t>
      </w:r>
      <w:r w:rsidR="006B184B">
        <w:rPr>
          <w:b w:val="0"/>
          <w:bCs/>
        </w:rPr>
        <w:t>de la información solicitada</w:t>
      </w:r>
      <w:r w:rsidR="008548A5">
        <w:rPr>
          <w:b w:val="0"/>
          <w:bCs/>
        </w:rPr>
        <w:t xml:space="preserve">; esta entrega debe cumplirse </w:t>
      </w:r>
      <w:r w:rsidR="00507D7B">
        <w:rPr>
          <w:b w:val="0"/>
          <w:bCs/>
        </w:rPr>
        <w:t>dentro de</w:t>
      </w:r>
      <w:r w:rsidR="001D4FD5">
        <w:rPr>
          <w:b w:val="0"/>
          <w:bCs/>
        </w:rPr>
        <w:t xml:space="preserve"> </w:t>
      </w:r>
      <w:r w:rsidR="00507D7B">
        <w:rPr>
          <w:b w:val="0"/>
          <w:bCs/>
        </w:rPr>
        <w:t>l</w:t>
      </w:r>
      <w:r w:rsidR="00E0504A">
        <w:rPr>
          <w:b w:val="0"/>
          <w:bCs/>
        </w:rPr>
        <w:t xml:space="preserve">os 30 días calendario siguientes </w:t>
      </w:r>
      <w:r w:rsidR="00507D7B">
        <w:rPr>
          <w:b w:val="0"/>
          <w:bCs/>
        </w:rPr>
        <w:t>a</w:t>
      </w:r>
      <w:r w:rsidR="000B4E72" w:rsidRPr="000B4E72">
        <w:rPr>
          <w:b w:val="0"/>
          <w:bCs/>
        </w:rPr>
        <w:t xml:space="preserve"> la entrada en vigencia de la </w:t>
      </w:r>
      <w:r w:rsidR="00353F54">
        <w:rPr>
          <w:b w:val="0"/>
          <w:bCs/>
        </w:rPr>
        <w:t xml:space="preserve">primera </w:t>
      </w:r>
      <w:r w:rsidR="000B4E72" w:rsidRPr="000B4E72">
        <w:rPr>
          <w:b w:val="0"/>
          <w:bCs/>
        </w:rPr>
        <w:t>resolución que apruebe el ingreso de la empresa que se traslada al SIN</w:t>
      </w:r>
      <w:r w:rsidR="004325DC">
        <w:rPr>
          <w:b w:val="0"/>
          <w:bCs/>
        </w:rPr>
        <w:t xml:space="preserve"> para el nuevo mercado de comercialización</w:t>
      </w:r>
      <w:r w:rsidR="00BC2952">
        <w:rPr>
          <w:b w:val="0"/>
          <w:bCs/>
        </w:rPr>
        <w:t>.</w:t>
      </w:r>
    </w:p>
    <w:p w14:paraId="0AEB8A58" w14:textId="561B3B4A" w:rsidR="00C66D08" w:rsidRPr="00C66D08" w:rsidRDefault="008E342C" w:rsidP="00694D99">
      <w:r w:rsidRPr="00982945">
        <w:t>A</w:t>
      </w:r>
      <w:r w:rsidRPr="00135AA9">
        <w:rPr>
          <w:lang w:val="es-MX"/>
        </w:rPr>
        <w:t xml:space="preserve"> partir de la entrada en vigencia de la </w:t>
      </w:r>
      <w:r w:rsidR="00353F54">
        <w:rPr>
          <w:lang w:val="es-MX"/>
        </w:rPr>
        <w:t xml:space="preserve">primera </w:t>
      </w:r>
      <w:r w:rsidRPr="00135AA9">
        <w:rPr>
          <w:lang w:val="es-MX"/>
        </w:rPr>
        <w:t xml:space="preserve">resolución que apruebe </w:t>
      </w:r>
      <w:r>
        <w:rPr>
          <w:lang w:val="es-MX"/>
        </w:rPr>
        <w:t>el</w:t>
      </w:r>
      <w:r w:rsidRPr="00135AA9">
        <w:rPr>
          <w:lang w:val="es-MX"/>
        </w:rPr>
        <w:t xml:space="preserve"> ingreso</w:t>
      </w:r>
      <w:r>
        <w:rPr>
          <w:lang w:val="es-MX"/>
        </w:rPr>
        <w:t xml:space="preserve"> de la empresa que se traslada al SIN </w:t>
      </w:r>
      <w:r w:rsidR="00B4563B">
        <w:rPr>
          <w:lang w:val="es-MX"/>
        </w:rPr>
        <w:t xml:space="preserve">para el nuevo mercado de comercialización, </w:t>
      </w:r>
      <w:r>
        <w:rPr>
          <w:lang w:val="es-MX"/>
        </w:rPr>
        <w:t xml:space="preserve">y durante los primeros cinco años, </w:t>
      </w:r>
      <w:r w:rsidR="00C32544">
        <w:rPr>
          <w:lang w:val="es-MX"/>
        </w:rPr>
        <w:t>e</w:t>
      </w:r>
      <w:r w:rsidR="006C21F8">
        <w:t xml:space="preserve">n las verificaciones </w:t>
      </w:r>
      <w:r w:rsidR="004440DB">
        <w:t>a</w:t>
      </w:r>
      <w:r w:rsidR="00A9322E">
        <w:t>nuales de</w:t>
      </w:r>
      <w:r w:rsidR="00D9128C">
        <w:t xml:space="preserve"> </w:t>
      </w:r>
      <w:r w:rsidR="00A9322E">
        <w:t xml:space="preserve">la información </w:t>
      </w:r>
      <w:r w:rsidR="006C21F8">
        <w:t xml:space="preserve">de calidad de que trata </w:t>
      </w:r>
      <w:r w:rsidR="00734D48">
        <w:t xml:space="preserve">el numeral </w:t>
      </w:r>
      <w:r w:rsidR="003C09E2">
        <w:t xml:space="preserve">5.2.12 </w:t>
      </w:r>
      <w:r w:rsidR="00954D6F">
        <w:t xml:space="preserve">del anexo general de </w:t>
      </w:r>
      <w:r w:rsidR="006C21F8">
        <w:t xml:space="preserve">la </w:t>
      </w:r>
      <w:r w:rsidR="006C21F8" w:rsidRPr="002A0828">
        <w:rPr>
          <w:lang w:val="es-MX"/>
        </w:rPr>
        <w:t>Resolución CREG 015 de 2018</w:t>
      </w:r>
      <w:r w:rsidR="006C21F8">
        <w:rPr>
          <w:lang w:val="es-MX"/>
        </w:rPr>
        <w:t>,</w:t>
      </w:r>
      <w:r w:rsidR="006C21F8" w:rsidRPr="00E14ADA">
        <w:rPr>
          <w:lang w:val="es-MX"/>
        </w:rPr>
        <w:t xml:space="preserve"> </w:t>
      </w:r>
      <w:r w:rsidR="006C21F8">
        <w:rPr>
          <w:lang w:val="es-MX"/>
        </w:rPr>
        <w:t xml:space="preserve">se revisará </w:t>
      </w:r>
      <w:r w:rsidR="000677B3">
        <w:rPr>
          <w:lang w:val="es-MX"/>
        </w:rPr>
        <w:t xml:space="preserve">la oportunidad </w:t>
      </w:r>
      <w:r w:rsidR="001233E6">
        <w:rPr>
          <w:lang w:val="es-MX"/>
        </w:rPr>
        <w:t xml:space="preserve">y calidad de la información registrada </w:t>
      </w:r>
      <w:r w:rsidR="0011480B">
        <w:rPr>
          <w:lang w:val="es-MX"/>
        </w:rPr>
        <w:t xml:space="preserve">y reportada </w:t>
      </w:r>
      <w:r w:rsidR="000658FE">
        <w:rPr>
          <w:lang w:val="es-MX"/>
        </w:rPr>
        <w:t xml:space="preserve">en </w:t>
      </w:r>
      <w:r w:rsidR="006C21F8">
        <w:rPr>
          <w:lang w:val="es-MX"/>
        </w:rPr>
        <w:t xml:space="preserve">cumplimiento </w:t>
      </w:r>
      <w:r w:rsidR="000658FE">
        <w:rPr>
          <w:lang w:val="es-MX"/>
        </w:rPr>
        <w:t xml:space="preserve">de la obligación de </w:t>
      </w:r>
      <w:r w:rsidR="006C21F8" w:rsidRPr="00135AA9">
        <w:rPr>
          <w:lang w:val="es-MX"/>
        </w:rPr>
        <w:t>report</w:t>
      </w:r>
      <w:r w:rsidR="000658FE">
        <w:rPr>
          <w:lang w:val="es-MX"/>
        </w:rPr>
        <w:t>ar</w:t>
      </w:r>
      <w:r w:rsidR="006C21F8" w:rsidRPr="00135AA9">
        <w:rPr>
          <w:lang w:val="es-MX"/>
        </w:rPr>
        <w:t xml:space="preserve"> al LAC </w:t>
      </w:r>
      <w:r w:rsidR="000658FE">
        <w:rPr>
          <w:lang w:val="es-MX"/>
        </w:rPr>
        <w:t>los</w:t>
      </w:r>
      <w:r w:rsidR="006C21F8" w:rsidRPr="00135AA9">
        <w:rPr>
          <w:lang w:val="es-MX"/>
        </w:rPr>
        <w:t xml:space="preserve"> eventos sucedidos en </w:t>
      </w:r>
      <w:r w:rsidR="00C32544">
        <w:rPr>
          <w:lang w:val="es-MX"/>
        </w:rPr>
        <w:t>el</w:t>
      </w:r>
      <w:r w:rsidR="006C21F8" w:rsidRPr="00135AA9">
        <w:rPr>
          <w:lang w:val="es-MX"/>
        </w:rPr>
        <w:t xml:space="preserve"> sistema</w:t>
      </w:r>
      <w:r w:rsidR="00C32544">
        <w:rPr>
          <w:lang w:val="es-MX"/>
        </w:rPr>
        <w:t xml:space="preserve"> de la e</w:t>
      </w:r>
      <w:r w:rsidR="00012A61">
        <w:rPr>
          <w:lang w:val="es-MX"/>
        </w:rPr>
        <w:t>m</w:t>
      </w:r>
      <w:r w:rsidR="00C32544">
        <w:rPr>
          <w:lang w:val="es-MX"/>
        </w:rPr>
        <w:t>presa</w:t>
      </w:r>
      <w:r w:rsidR="006C21F8">
        <w:rPr>
          <w:lang w:val="es-MX"/>
        </w:rPr>
        <w:t xml:space="preserve">. </w:t>
      </w:r>
      <w:r w:rsidR="00C66D08">
        <w:rPr>
          <w:lang w:val="es-MX"/>
        </w:rPr>
        <w:t xml:space="preserve">Así mismo, se verificará la calidad </w:t>
      </w:r>
      <w:r w:rsidR="00587262">
        <w:rPr>
          <w:lang w:val="es-MX"/>
        </w:rPr>
        <w:t>d</w:t>
      </w:r>
      <w:r w:rsidR="00C66D08">
        <w:rPr>
          <w:lang w:val="es-MX"/>
        </w:rPr>
        <w:t xml:space="preserve">el cálculo de los indicadores </w:t>
      </w:r>
      <w:r w:rsidR="00012A61">
        <w:rPr>
          <w:lang w:val="es-MX"/>
        </w:rPr>
        <w:t>señal</w:t>
      </w:r>
      <w:r w:rsidR="00D10527">
        <w:rPr>
          <w:lang w:val="es-MX"/>
        </w:rPr>
        <w:t>ados en el siguiente párrafo.</w:t>
      </w:r>
    </w:p>
    <w:p w14:paraId="6EE7AE20" w14:textId="660E9DC0" w:rsidR="006C21F8" w:rsidRPr="006C21F8" w:rsidRDefault="00F61C96" w:rsidP="006C21F8">
      <w:r>
        <w:rPr>
          <w:lang w:val="es-MX"/>
        </w:rPr>
        <w:t>D</w:t>
      </w:r>
      <w:r w:rsidR="001C73CD">
        <w:rPr>
          <w:lang w:val="es-MX"/>
        </w:rPr>
        <w:t xml:space="preserve">urante el mes siguiente </w:t>
      </w:r>
      <w:r w:rsidR="008330FF">
        <w:rPr>
          <w:lang w:val="es-MX"/>
        </w:rPr>
        <w:t>a</w:t>
      </w:r>
      <w:r w:rsidR="000561CA">
        <w:rPr>
          <w:lang w:val="es-MX"/>
        </w:rPr>
        <w:t xml:space="preserve"> cuando se cumpla un</w:t>
      </w:r>
      <w:r w:rsidR="007A6961">
        <w:rPr>
          <w:lang w:val="es-MX"/>
        </w:rPr>
        <w:t xml:space="preserve"> </w:t>
      </w:r>
      <w:r w:rsidR="000561CA">
        <w:rPr>
          <w:lang w:val="es-MX"/>
        </w:rPr>
        <w:t xml:space="preserve">nuevo año </w:t>
      </w:r>
      <w:r w:rsidR="007A6961">
        <w:rPr>
          <w:lang w:val="es-MX"/>
        </w:rPr>
        <w:t xml:space="preserve">desde </w:t>
      </w:r>
      <w:r w:rsidR="001C73CD" w:rsidRPr="006C21F8">
        <w:rPr>
          <w:lang w:val="es-MX"/>
        </w:rPr>
        <w:t xml:space="preserve">la entrada en vigencia de la </w:t>
      </w:r>
      <w:r w:rsidR="00353F54">
        <w:rPr>
          <w:lang w:val="es-MX"/>
        </w:rPr>
        <w:t xml:space="preserve">primera </w:t>
      </w:r>
      <w:r w:rsidR="001C73CD" w:rsidRPr="006C21F8">
        <w:rPr>
          <w:lang w:val="es-MX"/>
        </w:rPr>
        <w:t>resolución que apruebe el ingreso de la empresa que se traslada al SIN</w:t>
      </w:r>
      <w:r w:rsidR="00B4563B">
        <w:rPr>
          <w:lang w:val="es-MX"/>
        </w:rPr>
        <w:t xml:space="preserve"> para el nuevo mercado de comercialización</w:t>
      </w:r>
      <w:r w:rsidR="00F402DD">
        <w:rPr>
          <w:lang w:val="es-MX"/>
        </w:rPr>
        <w:t>, esta empresa</w:t>
      </w:r>
      <w:r w:rsidR="003F1253">
        <w:rPr>
          <w:lang w:val="es-MX"/>
        </w:rPr>
        <w:t xml:space="preserve"> </w:t>
      </w:r>
      <w:r w:rsidR="000561CA" w:rsidRPr="006C21F8">
        <w:rPr>
          <w:lang w:val="es-MX"/>
        </w:rPr>
        <w:t xml:space="preserve">deberá enviar a la SSPD </w:t>
      </w:r>
      <w:r w:rsidR="006C21F8" w:rsidRPr="006C21F8">
        <w:rPr>
          <w:lang w:val="es-MX"/>
        </w:rPr>
        <w:t>un reporte de su avance para obtener la certificación del cumplimiento de los requisitos establecidos para ingresar al sistema de incentivos y compensaciones</w:t>
      </w:r>
      <w:r w:rsidR="00273F1F">
        <w:rPr>
          <w:lang w:val="es-MX"/>
        </w:rPr>
        <w:t>.</w:t>
      </w:r>
      <w:r w:rsidR="006C21F8" w:rsidRPr="006C21F8">
        <w:rPr>
          <w:lang w:val="es-MX"/>
        </w:rPr>
        <w:t xml:space="preserve"> </w:t>
      </w:r>
      <w:r w:rsidR="008820F9">
        <w:rPr>
          <w:lang w:val="es-MX"/>
        </w:rPr>
        <w:t>Junto con este informe deberá reportar los indicadores SAIDI y SAIFI</w:t>
      </w:r>
      <w:r w:rsidR="001912C0">
        <w:rPr>
          <w:lang w:val="es-MX"/>
        </w:rPr>
        <w:t>, calculado</w:t>
      </w:r>
      <w:r w:rsidR="00794E98">
        <w:rPr>
          <w:lang w:val="es-MX"/>
        </w:rPr>
        <w:t>s</w:t>
      </w:r>
      <w:r w:rsidR="001912C0">
        <w:rPr>
          <w:lang w:val="es-MX"/>
        </w:rPr>
        <w:t xml:space="preserve"> de acuerdo con </w:t>
      </w:r>
      <w:r w:rsidR="00E95D69">
        <w:rPr>
          <w:bCs/>
        </w:rPr>
        <w:t xml:space="preserve">el numeral 5.2.3.1 del anexo general de la </w:t>
      </w:r>
      <w:r w:rsidR="00E95D69" w:rsidRPr="002A0828">
        <w:rPr>
          <w:bCs/>
          <w:lang w:val="es-MX"/>
        </w:rPr>
        <w:t>Resolución CREG 015 de 2018</w:t>
      </w:r>
      <w:r w:rsidR="00E95D69">
        <w:rPr>
          <w:bCs/>
          <w:lang w:val="es-MX"/>
        </w:rPr>
        <w:t>.</w:t>
      </w:r>
    </w:p>
    <w:p w14:paraId="68F32CF9" w14:textId="7A68666F" w:rsidR="00B16447" w:rsidRPr="001C428B" w:rsidRDefault="00E676CD" w:rsidP="00B16447">
      <w:pPr>
        <w:pStyle w:val="Artculo"/>
        <w:spacing w:before="360" w:after="0"/>
        <w:ind w:left="0"/>
        <w:outlineLvl w:val="1"/>
      </w:pPr>
      <w:bookmarkStart w:id="14" w:name="_Ref121476205"/>
      <w:r>
        <w:t>P</w:t>
      </w:r>
      <w:r w:rsidR="00B16447">
        <w:t>osibilidad de entregar nueva información</w:t>
      </w:r>
      <w:r w:rsidR="00B16447" w:rsidRPr="00B31F15">
        <w:rPr>
          <w:b w:val="0"/>
          <w:bCs/>
        </w:rPr>
        <w:t xml:space="preserve">. </w:t>
      </w:r>
      <w:r w:rsidR="0070761D">
        <w:rPr>
          <w:b w:val="0"/>
          <w:bCs/>
        </w:rPr>
        <w:t>S</w:t>
      </w:r>
      <w:r w:rsidR="005B6D04">
        <w:rPr>
          <w:b w:val="0"/>
          <w:bCs/>
        </w:rPr>
        <w:t>i</w:t>
      </w:r>
      <w:r w:rsidR="0070761D">
        <w:rPr>
          <w:b w:val="0"/>
          <w:bCs/>
        </w:rPr>
        <w:t xml:space="preserve"> </w:t>
      </w:r>
      <w:r w:rsidR="003D23EE">
        <w:rPr>
          <w:b w:val="0"/>
          <w:bCs/>
        </w:rPr>
        <w:t xml:space="preserve">después de aprobados </w:t>
      </w:r>
      <w:r w:rsidR="00565280">
        <w:rPr>
          <w:b w:val="0"/>
          <w:bCs/>
        </w:rPr>
        <w:t xml:space="preserve">los </w:t>
      </w:r>
      <w:r w:rsidR="003D23EE">
        <w:rPr>
          <w:b w:val="0"/>
          <w:bCs/>
        </w:rPr>
        <w:t>ingresos</w:t>
      </w:r>
      <w:r w:rsidR="00B4563B">
        <w:rPr>
          <w:b w:val="0"/>
          <w:bCs/>
        </w:rPr>
        <w:t xml:space="preserve"> para el nuevo mercado de comercialización</w:t>
      </w:r>
      <w:r w:rsidR="003D23EE">
        <w:rPr>
          <w:b w:val="0"/>
          <w:bCs/>
        </w:rPr>
        <w:t xml:space="preserve">, </w:t>
      </w:r>
      <w:r w:rsidR="0070761D">
        <w:rPr>
          <w:b w:val="0"/>
          <w:bCs/>
        </w:rPr>
        <w:t>una empre</w:t>
      </w:r>
      <w:r w:rsidR="005B6D04">
        <w:rPr>
          <w:b w:val="0"/>
          <w:bCs/>
        </w:rPr>
        <w:t>s</w:t>
      </w:r>
      <w:r w:rsidR="0070761D">
        <w:rPr>
          <w:b w:val="0"/>
          <w:bCs/>
        </w:rPr>
        <w:t>a que se traslada al SIN</w:t>
      </w:r>
      <w:r w:rsidR="005B6D04">
        <w:rPr>
          <w:b w:val="0"/>
          <w:bCs/>
        </w:rPr>
        <w:t xml:space="preserve"> cuenta con </w:t>
      </w:r>
      <w:r w:rsidR="008222AC">
        <w:rPr>
          <w:b w:val="0"/>
          <w:bCs/>
        </w:rPr>
        <w:t xml:space="preserve">una mejor </w:t>
      </w:r>
      <w:r w:rsidR="005B6D04">
        <w:rPr>
          <w:b w:val="0"/>
          <w:bCs/>
        </w:rPr>
        <w:t>información</w:t>
      </w:r>
      <w:r w:rsidR="00CA4D2A">
        <w:rPr>
          <w:b w:val="0"/>
          <w:bCs/>
        </w:rPr>
        <w:t xml:space="preserve"> </w:t>
      </w:r>
      <w:r w:rsidR="000066A5">
        <w:rPr>
          <w:b w:val="0"/>
          <w:bCs/>
        </w:rPr>
        <w:t xml:space="preserve">para </w:t>
      </w:r>
      <w:r w:rsidR="005B6D04" w:rsidRPr="005B6D04">
        <w:rPr>
          <w:b w:val="0"/>
          <w:bCs/>
        </w:rPr>
        <w:t xml:space="preserve">las variables </w:t>
      </w:r>
      <w:proofErr w:type="spellStart"/>
      <w:r w:rsidR="005B6D04" w:rsidRPr="00916D6F">
        <w:rPr>
          <w:b w:val="0"/>
          <w:bCs/>
          <w:i/>
          <w:iCs/>
        </w:rPr>
        <w:t>CMTD</w:t>
      </w:r>
      <w:r w:rsidR="005B6D04" w:rsidRPr="00916D6F">
        <w:rPr>
          <w:b w:val="0"/>
          <w:bCs/>
          <w:i/>
          <w:iCs/>
          <w:vertAlign w:val="subscript"/>
        </w:rPr>
        <w:t>j</w:t>
      </w:r>
      <w:proofErr w:type="spellEnd"/>
      <w:r w:rsidR="005B6D04" w:rsidRPr="005B6D04">
        <w:rPr>
          <w:b w:val="0"/>
          <w:bCs/>
        </w:rPr>
        <w:t xml:space="preserve"> y </w:t>
      </w:r>
      <w:proofErr w:type="spellStart"/>
      <w:r w:rsidR="005B6D04" w:rsidRPr="00916D6F">
        <w:rPr>
          <w:b w:val="0"/>
          <w:bCs/>
          <w:i/>
          <w:iCs/>
        </w:rPr>
        <w:t>CMRD</w:t>
      </w:r>
      <w:r w:rsidR="005B6D04" w:rsidRPr="00916D6F">
        <w:rPr>
          <w:b w:val="0"/>
          <w:bCs/>
          <w:i/>
          <w:iCs/>
          <w:vertAlign w:val="subscript"/>
        </w:rPr>
        <w:t>j</w:t>
      </w:r>
      <w:proofErr w:type="spellEnd"/>
      <w:r w:rsidR="00AA7F0C">
        <w:rPr>
          <w:b w:val="0"/>
          <w:bCs/>
        </w:rPr>
        <w:t xml:space="preserve"> </w:t>
      </w:r>
      <w:r w:rsidR="00466004">
        <w:rPr>
          <w:b w:val="0"/>
          <w:bCs/>
        </w:rPr>
        <w:t xml:space="preserve">o </w:t>
      </w:r>
      <w:r w:rsidR="00AA7F0C">
        <w:rPr>
          <w:b w:val="0"/>
          <w:bCs/>
        </w:rPr>
        <w:t>para los índices de pérdidas por nivel de tensión</w:t>
      </w:r>
      <w:r w:rsidR="00AE2E99">
        <w:rPr>
          <w:b w:val="0"/>
          <w:bCs/>
          <w:i/>
          <w:iCs/>
        </w:rPr>
        <w:t>,</w:t>
      </w:r>
      <w:r w:rsidR="00AB6C68">
        <w:rPr>
          <w:b w:val="0"/>
          <w:bCs/>
        </w:rPr>
        <w:t xml:space="preserve"> </w:t>
      </w:r>
      <w:r w:rsidR="00916D6F">
        <w:rPr>
          <w:b w:val="0"/>
          <w:bCs/>
        </w:rPr>
        <w:t>p</w:t>
      </w:r>
      <w:r w:rsidR="00AA7F0C">
        <w:rPr>
          <w:b w:val="0"/>
          <w:bCs/>
        </w:rPr>
        <w:t>odrá, por una sola vez</w:t>
      </w:r>
      <w:r w:rsidR="00B4563B">
        <w:rPr>
          <w:b w:val="0"/>
          <w:bCs/>
        </w:rPr>
        <w:t>,</w:t>
      </w:r>
      <w:r w:rsidR="000066A5">
        <w:rPr>
          <w:b w:val="0"/>
          <w:bCs/>
        </w:rPr>
        <w:t xml:space="preserve"> y antes de finalizar el </w:t>
      </w:r>
      <w:r w:rsidR="00546332">
        <w:rPr>
          <w:b w:val="0"/>
          <w:bCs/>
        </w:rPr>
        <w:t xml:space="preserve">tercer </w:t>
      </w:r>
      <w:r w:rsidR="000066A5">
        <w:rPr>
          <w:b w:val="0"/>
          <w:bCs/>
        </w:rPr>
        <w:t>año del plan de inversiones, solicitar a la CREG el ajuste de los valores aprobados</w:t>
      </w:r>
      <w:r w:rsidR="007126A4">
        <w:rPr>
          <w:b w:val="0"/>
          <w:bCs/>
        </w:rPr>
        <w:t xml:space="preserve"> para dicho mercado</w:t>
      </w:r>
      <w:r w:rsidR="00B16447">
        <w:rPr>
          <w:b w:val="0"/>
          <w:bCs/>
        </w:rPr>
        <w:t>.</w:t>
      </w:r>
      <w:bookmarkEnd w:id="13"/>
      <w:bookmarkEnd w:id="14"/>
    </w:p>
    <w:p w14:paraId="3095A41E" w14:textId="6910037C" w:rsidR="007867C7" w:rsidRDefault="007867C7" w:rsidP="007867C7">
      <w:r w:rsidRPr="007867C7">
        <w:t xml:space="preserve">Para estimar los índices de pérdidas de los niveles 3 y 2 se deberá presentar el estudio descrito en el numeral 7.1.1.2 del anexo general de la Resolución CREG 015 de 2018, considerando la información topológica real de todo </w:t>
      </w:r>
      <w:r w:rsidR="00565280">
        <w:t>el</w:t>
      </w:r>
      <w:r w:rsidR="00565280" w:rsidRPr="007867C7">
        <w:t xml:space="preserve"> </w:t>
      </w:r>
      <w:r w:rsidRPr="007867C7">
        <w:t xml:space="preserve">sistema </w:t>
      </w:r>
      <w:r w:rsidR="00565280">
        <w:t xml:space="preserve">del mercado de comercialización que se conecta al SIN, </w:t>
      </w:r>
      <w:r w:rsidRPr="007867C7">
        <w:t xml:space="preserve">a diciembre del año anterior a cuando se elabore el estudio. Para determinar el índice de pérdidas técnicas del nivel de tensión 1 se deberá presentar el estudio señalado en el numeral 7.1.1.3 del anexo general de la Resolución CREG 015 de 2018, exigido a los OR que no cuenten con el índice de pérdidas técnicas calculadas en la Circular CREG 052 de 2010. </w:t>
      </w:r>
    </w:p>
    <w:p w14:paraId="24A1D57E" w14:textId="26629D7D" w:rsidR="009F3468" w:rsidRPr="0070473A" w:rsidRDefault="009F3468" w:rsidP="00B16447">
      <w:pPr>
        <w:pStyle w:val="Artculo"/>
        <w:spacing w:before="360" w:after="0"/>
        <w:ind w:left="0"/>
        <w:outlineLvl w:val="1"/>
      </w:pPr>
      <w:r>
        <w:t>Vigencia de los ingresos aprobados</w:t>
      </w:r>
      <w:r w:rsidR="00DD4925">
        <w:t xml:space="preserve">. </w:t>
      </w:r>
      <w:r w:rsidR="000D005D" w:rsidRPr="00E15F45">
        <w:rPr>
          <w:b w:val="0"/>
        </w:rPr>
        <w:t xml:space="preserve">Los ingresos que </w:t>
      </w:r>
      <w:r w:rsidR="0011725D">
        <w:rPr>
          <w:b w:val="0"/>
        </w:rPr>
        <w:t>apruebe</w:t>
      </w:r>
      <w:r w:rsidR="000D005D" w:rsidRPr="00E15F45">
        <w:rPr>
          <w:b w:val="0"/>
        </w:rPr>
        <w:t xml:space="preserve"> la Comisión </w:t>
      </w:r>
      <w:r w:rsidR="00616EF3">
        <w:rPr>
          <w:b w:val="0"/>
        </w:rPr>
        <w:t xml:space="preserve">para la actividad de distribución </w:t>
      </w:r>
      <w:r w:rsidR="000D005D" w:rsidRPr="00E15F45">
        <w:rPr>
          <w:b w:val="0"/>
        </w:rPr>
        <w:t xml:space="preserve">estarán vigentes a partir de la firmeza </w:t>
      </w:r>
      <w:r w:rsidR="000D005D" w:rsidRPr="0070473A">
        <w:rPr>
          <w:b w:val="0"/>
        </w:rPr>
        <w:t xml:space="preserve">de la </w:t>
      </w:r>
      <w:r w:rsidR="002C7945">
        <w:rPr>
          <w:b w:val="0"/>
        </w:rPr>
        <w:t xml:space="preserve">primera </w:t>
      </w:r>
      <w:r w:rsidR="000D005D" w:rsidRPr="0070473A">
        <w:rPr>
          <w:b w:val="0"/>
        </w:rPr>
        <w:t>resolución particular que los apruebe</w:t>
      </w:r>
      <w:r w:rsidR="006614EC" w:rsidRPr="0070473A">
        <w:rPr>
          <w:b w:val="0"/>
        </w:rPr>
        <w:t>, y</w:t>
      </w:r>
      <w:r w:rsidR="000D005D" w:rsidRPr="0070473A">
        <w:rPr>
          <w:b w:val="0"/>
        </w:rPr>
        <w:t xml:space="preserve"> por un p</w:t>
      </w:r>
      <w:r w:rsidR="000727D0">
        <w:rPr>
          <w:b w:val="0"/>
        </w:rPr>
        <w:t>eríodo</w:t>
      </w:r>
      <w:r w:rsidR="000D005D" w:rsidRPr="0070473A">
        <w:rPr>
          <w:b w:val="0"/>
        </w:rPr>
        <w:t xml:space="preserve"> de cinco (5) años.</w:t>
      </w:r>
    </w:p>
    <w:p w14:paraId="3938F4DA" w14:textId="360E8EB0" w:rsidR="000D005D" w:rsidRDefault="00F7791B" w:rsidP="00F7791B">
      <w:r w:rsidRPr="00F7791B">
        <w:lastRenderedPageBreak/>
        <w:t>Vencido el período de vigencia</w:t>
      </w:r>
      <w:r w:rsidR="007F46C2">
        <w:t xml:space="preserve">, </w:t>
      </w:r>
      <w:r w:rsidRPr="00F7791B">
        <w:t xml:space="preserve">los </w:t>
      </w:r>
      <w:r w:rsidR="007F46C2">
        <w:t xml:space="preserve">ingresos </w:t>
      </w:r>
      <w:r w:rsidR="00E1600A">
        <w:t>aprobados</w:t>
      </w:r>
      <w:r w:rsidRPr="00F7791B">
        <w:t xml:space="preserve"> continuarán rigiendo hasta que la Comisión apruebe los nuevos.</w:t>
      </w:r>
    </w:p>
    <w:p w14:paraId="6784BEFE" w14:textId="77777777" w:rsidR="0075222B" w:rsidRDefault="0075222B" w:rsidP="00F7791B"/>
    <w:p w14:paraId="719EF1AD" w14:textId="77777777" w:rsidR="0075222B" w:rsidRDefault="0075222B" w:rsidP="0075222B">
      <w:pPr>
        <w:pStyle w:val="Ttulo"/>
        <w:keepNext/>
        <w:numPr>
          <w:ilvl w:val="0"/>
          <w:numId w:val="9"/>
        </w:numPr>
        <w:spacing w:before="360" w:after="360"/>
        <w:ind w:left="0" w:right="-1134" w:hanging="11"/>
        <w:jc w:val="center"/>
        <w:outlineLvl w:val="0"/>
      </w:pPr>
    </w:p>
    <w:p w14:paraId="2B54176B" w14:textId="64526633" w:rsidR="0078724E" w:rsidRDefault="0075222B" w:rsidP="0075222B">
      <w:pPr>
        <w:pStyle w:val="Ttulo"/>
        <w:keepNext/>
        <w:numPr>
          <w:ilvl w:val="0"/>
          <w:numId w:val="0"/>
        </w:numPr>
        <w:spacing w:before="360" w:after="360"/>
        <w:ind w:left="2844"/>
        <w:outlineLvl w:val="0"/>
      </w:pPr>
      <w:r>
        <w:t xml:space="preserve">     </w:t>
      </w:r>
      <w:r w:rsidR="0078724E">
        <w:t>COMERCIALIZACIÓN</w:t>
      </w:r>
    </w:p>
    <w:p w14:paraId="4827A744" w14:textId="77777777" w:rsidR="00232342" w:rsidRDefault="00232342" w:rsidP="0075222B">
      <w:pPr>
        <w:pStyle w:val="Ttulo"/>
        <w:keepNext/>
        <w:numPr>
          <w:ilvl w:val="0"/>
          <w:numId w:val="0"/>
        </w:numPr>
        <w:spacing w:before="360" w:after="360"/>
        <w:ind w:left="2844"/>
        <w:outlineLvl w:val="0"/>
      </w:pPr>
    </w:p>
    <w:p w14:paraId="5EDF92F4" w14:textId="10AB3F78" w:rsidR="001130AB" w:rsidRDefault="009819A9" w:rsidP="008B46EF">
      <w:pPr>
        <w:pStyle w:val="Artculo"/>
        <w:spacing w:before="360" w:after="0"/>
        <w:ind w:left="0"/>
        <w:outlineLvl w:val="1"/>
      </w:pPr>
      <w:r>
        <w:t>Remuneración</w:t>
      </w:r>
      <w:r w:rsidR="007D3313">
        <w:t xml:space="preserve"> de </w:t>
      </w:r>
      <w:r>
        <w:t xml:space="preserve">la </w:t>
      </w:r>
      <w:r w:rsidR="007D3313">
        <w:t>comercialización</w:t>
      </w:r>
      <w:r w:rsidR="007D3313" w:rsidRPr="00B31F15">
        <w:rPr>
          <w:b w:val="0"/>
          <w:bCs/>
        </w:rPr>
        <w:t xml:space="preserve">. </w:t>
      </w:r>
      <w:r w:rsidR="008B0C80">
        <w:rPr>
          <w:b w:val="0"/>
          <w:bCs/>
        </w:rPr>
        <w:t>El cálculo y actualización de l</w:t>
      </w:r>
      <w:r w:rsidR="000C44CD">
        <w:rPr>
          <w:b w:val="0"/>
          <w:bCs/>
        </w:rPr>
        <w:t xml:space="preserve">as variables relacionadas con la remuneración de la actividad de comercialización de </w:t>
      </w:r>
      <w:r w:rsidR="008B46EF">
        <w:rPr>
          <w:b w:val="0"/>
          <w:bCs/>
        </w:rPr>
        <w:t>energía eléctrica, para las empresas que se trasladan al SIN</w:t>
      </w:r>
      <w:r w:rsidR="00B4563B">
        <w:rPr>
          <w:b w:val="0"/>
          <w:bCs/>
        </w:rPr>
        <w:t xml:space="preserve"> en el nuevo mercado de comercialización</w:t>
      </w:r>
      <w:r w:rsidR="008732CE">
        <w:rPr>
          <w:b w:val="0"/>
          <w:bCs/>
        </w:rPr>
        <w:t xml:space="preserve">, </w:t>
      </w:r>
      <w:r w:rsidR="008B0C80">
        <w:rPr>
          <w:b w:val="0"/>
          <w:bCs/>
        </w:rPr>
        <w:t xml:space="preserve">se hará </w:t>
      </w:r>
      <w:r w:rsidR="008E0F36" w:rsidRPr="008B46EF">
        <w:rPr>
          <w:b w:val="0"/>
          <w:bCs/>
        </w:rPr>
        <w:t xml:space="preserve">de acuerdo </w:t>
      </w:r>
      <w:r w:rsidR="007D3313" w:rsidRPr="008B46EF">
        <w:rPr>
          <w:b w:val="0"/>
          <w:bCs/>
        </w:rPr>
        <w:t>con lo dispuesto en la</w:t>
      </w:r>
      <w:r w:rsidR="008154AC">
        <w:rPr>
          <w:b w:val="0"/>
          <w:bCs/>
        </w:rPr>
        <w:t>s</w:t>
      </w:r>
      <w:r w:rsidR="007D3313" w:rsidRPr="008B46EF">
        <w:rPr>
          <w:b w:val="0"/>
          <w:bCs/>
        </w:rPr>
        <w:t xml:space="preserve"> </w:t>
      </w:r>
      <w:r w:rsidR="008154AC">
        <w:rPr>
          <w:b w:val="0"/>
          <w:bCs/>
        </w:rPr>
        <w:t>r</w:t>
      </w:r>
      <w:r w:rsidR="007D3313" w:rsidRPr="008B46EF">
        <w:rPr>
          <w:b w:val="0"/>
          <w:bCs/>
        </w:rPr>
        <w:t>esoluci</w:t>
      </w:r>
      <w:r w:rsidR="008154AC">
        <w:rPr>
          <w:b w:val="0"/>
          <w:bCs/>
        </w:rPr>
        <w:t>ones</w:t>
      </w:r>
      <w:r w:rsidR="007D3313" w:rsidRPr="008B46EF">
        <w:rPr>
          <w:b w:val="0"/>
          <w:bCs/>
        </w:rPr>
        <w:t xml:space="preserve"> CREG 180 de 2014</w:t>
      </w:r>
      <w:r w:rsidR="00F065EA" w:rsidRPr="008B46EF">
        <w:rPr>
          <w:b w:val="0"/>
          <w:bCs/>
        </w:rPr>
        <w:t xml:space="preserve"> </w:t>
      </w:r>
      <w:r w:rsidR="008154AC">
        <w:rPr>
          <w:b w:val="0"/>
          <w:bCs/>
        </w:rPr>
        <w:t>y</w:t>
      </w:r>
      <w:r w:rsidR="008154AC" w:rsidRPr="008154AC">
        <w:rPr>
          <w:b w:val="0"/>
          <w:bCs/>
        </w:rPr>
        <w:t xml:space="preserve"> 019 de 2018</w:t>
      </w:r>
      <w:r w:rsidR="006614EC">
        <w:rPr>
          <w:b w:val="0"/>
          <w:bCs/>
        </w:rPr>
        <w:t>,</w:t>
      </w:r>
      <w:r w:rsidR="00D539D8">
        <w:rPr>
          <w:b w:val="0"/>
          <w:bCs/>
        </w:rPr>
        <w:t xml:space="preserve"> y</w:t>
      </w:r>
      <w:r w:rsidR="00F065EA" w:rsidRPr="008B46EF">
        <w:rPr>
          <w:b w:val="0"/>
          <w:bCs/>
        </w:rPr>
        <w:t xml:space="preserve"> lo establecido en </w:t>
      </w:r>
      <w:r w:rsidR="00360B50">
        <w:rPr>
          <w:b w:val="0"/>
          <w:bCs/>
        </w:rPr>
        <w:t>este capítulo</w:t>
      </w:r>
      <w:r w:rsidR="00782DB9" w:rsidRPr="008B46EF">
        <w:rPr>
          <w:b w:val="0"/>
          <w:bCs/>
        </w:rPr>
        <w:t>.</w:t>
      </w:r>
    </w:p>
    <w:p w14:paraId="54132D60" w14:textId="4D75A80E" w:rsidR="0078724E" w:rsidRPr="0076089C" w:rsidRDefault="002C2954" w:rsidP="0078724E">
      <w:pPr>
        <w:pStyle w:val="Artculo"/>
        <w:spacing w:before="360" w:after="0"/>
        <w:ind w:left="0"/>
        <w:outlineLvl w:val="1"/>
      </w:pPr>
      <w:r>
        <w:t xml:space="preserve">Formalización </w:t>
      </w:r>
      <w:r w:rsidR="009D6693">
        <w:t>de la solicitud.</w:t>
      </w:r>
      <w:r w:rsidR="00BA0B92" w:rsidRPr="00BA0B92">
        <w:rPr>
          <w:b w:val="0"/>
          <w:bCs/>
        </w:rPr>
        <w:t xml:space="preserve"> </w:t>
      </w:r>
      <w:r w:rsidR="00DF0861">
        <w:rPr>
          <w:b w:val="0"/>
          <w:bCs/>
        </w:rPr>
        <w:t xml:space="preserve">No se requerirá que la empresa que se traslada al SIN </w:t>
      </w:r>
      <w:r w:rsidR="001D3DE9">
        <w:rPr>
          <w:b w:val="0"/>
          <w:bCs/>
        </w:rPr>
        <w:t>solicite</w:t>
      </w:r>
      <w:r w:rsidR="00DF0861">
        <w:rPr>
          <w:b w:val="0"/>
          <w:bCs/>
        </w:rPr>
        <w:t xml:space="preserve"> la aprobación del costo base de comercialización</w:t>
      </w:r>
      <w:r w:rsidR="001D3DE9">
        <w:rPr>
          <w:b w:val="0"/>
          <w:bCs/>
        </w:rPr>
        <w:t>.</w:t>
      </w:r>
      <w:r w:rsidR="00DF0861" w:rsidRPr="00BA0B92">
        <w:rPr>
          <w:b w:val="0"/>
          <w:bCs/>
        </w:rPr>
        <w:t xml:space="preserve"> </w:t>
      </w:r>
      <w:r w:rsidR="001E3599" w:rsidRPr="1D8F56DF">
        <w:rPr>
          <w:b w:val="0"/>
        </w:rPr>
        <w:t xml:space="preserve">Una </w:t>
      </w:r>
      <w:r w:rsidR="004A19E9">
        <w:rPr>
          <w:b w:val="0"/>
        </w:rPr>
        <w:t xml:space="preserve">vez </w:t>
      </w:r>
      <w:r w:rsidR="001E3599" w:rsidRPr="1D8F56DF">
        <w:rPr>
          <w:b w:val="0"/>
        </w:rPr>
        <w:t xml:space="preserve">que se encuentre en vigencia la resolución que aprueba la solicitud de que trata el artículo </w:t>
      </w:r>
      <w:r w:rsidR="00810C40">
        <w:rPr>
          <w:b w:val="0"/>
        </w:rPr>
        <w:fldChar w:fldCharType="begin"/>
      </w:r>
      <w:r w:rsidR="00810C40">
        <w:rPr>
          <w:b w:val="0"/>
        </w:rPr>
        <w:instrText xml:space="preserve"> REF _Ref110361301 \r \h </w:instrText>
      </w:r>
      <w:r w:rsidR="008B7EEE">
        <w:rPr>
          <w:b w:val="0"/>
        </w:rPr>
        <w:instrText>\t</w:instrText>
      </w:r>
      <w:r w:rsidR="00810C40">
        <w:rPr>
          <w:b w:val="0"/>
        </w:rPr>
      </w:r>
      <w:r w:rsidR="00810C40">
        <w:rPr>
          <w:b w:val="0"/>
        </w:rPr>
        <w:fldChar w:fldCharType="separate"/>
      </w:r>
      <w:r w:rsidR="00232342">
        <w:rPr>
          <w:b w:val="0"/>
        </w:rPr>
        <w:t>4</w:t>
      </w:r>
      <w:r w:rsidR="00810C40">
        <w:rPr>
          <w:b w:val="0"/>
        </w:rPr>
        <w:fldChar w:fldCharType="end"/>
      </w:r>
      <w:r w:rsidR="001E3599" w:rsidRPr="1D8F56DF">
        <w:rPr>
          <w:b w:val="0"/>
        </w:rPr>
        <w:t xml:space="preserve">, se deberán aplicar los valores de costo base de comercialización y de riesgo de cartera establecidos en los artículos </w:t>
      </w:r>
      <w:r w:rsidR="00CD3D12">
        <w:rPr>
          <w:b w:val="0"/>
        </w:rPr>
        <w:fldChar w:fldCharType="begin"/>
      </w:r>
      <w:r w:rsidR="00CD3D12">
        <w:rPr>
          <w:b w:val="0"/>
        </w:rPr>
        <w:instrText xml:space="preserve"> REF _Ref110361348 \r \h </w:instrText>
      </w:r>
      <w:r w:rsidR="008B7EEE">
        <w:rPr>
          <w:b w:val="0"/>
        </w:rPr>
        <w:instrText>\t</w:instrText>
      </w:r>
      <w:r w:rsidR="00CD3D12">
        <w:rPr>
          <w:b w:val="0"/>
        </w:rPr>
      </w:r>
      <w:r w:rsidR="00CD3D12">
        <w:rPr>
          <w:b w:val="0"/>
        </w:rPr>
        <w:fldChar w:fldCharType="separate"/>
      </w:r>
      <w:r w:rsidR="00232342">
        <w:rPr>
          <w:b w:val="0"/>
        </w:rPr>
        <w:t>21</w:t>
      </w:r>
      <w:r w:rsidR="00CD3D12">
        <w:rPr>
          <w:b w:val="0"/>
        </w:rPr>
        <w:fldChar w:fldCharType="end"/>
      </w:r>
      <w:r w:rsidR="001E3599" w:rsidRPr="1D8F56DF">
        <w:rPr>
          <w:b w:val="0"/>
        </w:rPr>
        <w:t xml:space="preserve"> y </w:t>
      </w:r>
      <w:r w:rsidR="00CD3D12">
        <w:rPr>
          <w:b w:val="0"/>
        </w:rPr>
        <w:fldChar w:fldCharType="begin"/>
      </w:r>
      <w:r w:rsidR="00CD3D12">
        <w:rPr>
          <w:b w:val="0"/>
        </w:rPr>
        <w:instrText xml:space="preserve"> REF _Ref110361360 \r \h </w:instrText>
      </w:r>
      <w:r w:rsidR="008B7EEE">
        <w:rPr>
          <w:b w:val="0"/>
        </w:rPr>
        <w:instrText>\t</w:instrText>
      </w:r>
      <w:r w:rsidR="00CD3D12">
        <w:rPr>
          <w:b w:val="0"/>
        </w:rPr>
      </w:r>
      <w:r w:rsidR="00CD3D12">
        <w:rPr>
          <w:b w:val="0"/>
        </w:rPr>
        <w:fldChar w:fldCharType="separate"/>
      </w:r>
      <w:r w:rsidR="00232342">
        <w:rPr>
          <w:b w:val="0"/>
        </w:rPr>
        <w:t>22</w:t>
      </w:r>
      <w:r w:rsidR="00CD3D12">
        <w:rPr>
          <w:b w:val="0"/>
        </w:rPr>
        <w:fldChar w:fldCharType="end"/>
      </w:r>
      <w:r w:rsidR="001E3599" w:rsidRPr="1D8F56DF">
        <w:rPr>
          <w:b w:val="0"/>
        </w:rPr>
        <w:t>.</w:t>
      </w:r>
    </w:p>
    <w:p w14:paraId="1E131979" w14:textId="61DBE227" w:rsidR="0076089C" w:rsidRPr="005143DC" w:rsidRDefault="0076089C" w:rsidP="0078724E">
      <w:pPr>
        <w:pStyle w:val="Artculo"/>
        <w:spacing w:before="360" w:after="0"/>
        <w:ind w:left="0"/>
        <w:outlineLvl w:val="1"/>
      </w:pPr>
      <w:bookmarkStart w:id="15" w:name="_Ref110361348"/>
      <w:r>
        <w:t>Costo base.</w:t>
      </w:r>
      <w:r w:rsidRPr="00AF40FE">
        <w:rPr>
          <w:b w:val="0"/>
          <w:bCs/>
        </w:rPr>
        <w:t xml:space="preserve"> </w:t>
      </w:r>
      <w:r w:rsidR="00AF40FE" w:rsidRPr="00AF40FE">
        <w:rPr>
          <w:b w:val="0"/>
          <w:bCs/>
        </w:rPr>
        <w:t xml:space="preserve">El </w:t>
      </w:r>
      <w:r w:rsidR="00AF40FE">
        <w:rPr>
          <w:b w:val="0"/>
          <w:bCs/>
        </w:rPr>
        <w:t>costo base de comercialización</w:t>
      </w:r>
      <w:r w:rsidR="0087775E">
        <w:rPr>
          <w:b w:val="0"/>
        </w:rPr>
        <w:t xml:space="preserve">, </w:t>
      </w:r>
      <w:proofErr w:type="spellStart"/>
      <w:r w:rsidR="0087775E" w:rsidRPr="00144EF3">
        <w:rPr>
          <w:rFonts w:eastAsia="Merriweather" w:cs="Merriweather"/>
          <w:b w:val="0"/>
          <w:i/>
          <w:iCs/>
          <w:color w:val="343536"/>
        </w:rPr>
        <w:t>Cf</w:t>
      </w:r>
      <w:r w:rsidR="0087775E" w:rsidRPr="00144EF3">
        <w:rPr>
          <w:rFonts w:eastAsia="Merriweather" w:cs="Merriweather"/>
          <w:b w:val="0"/>
          <w:i/>
          <w:iCs/>
          <w:color w:val="343536"/>
          <w:vertAlign w:val="subscript"/>
        </w:rPr>
        <w:t>j</w:t>
      </w:r>
      <w:proofErr w:type="spellEnd"/>
      <w:r w:rsidR="001B1687" w:rsidRPr="00144EF3">
        <w:rPr>
          <w:b w:val="0"/>
        </w:rPr>
        <w:t>,</w:t>
      </w:r>
      <w:r w:rsidR="001B1687">
        <w:rPr>
          <w:b w:val="0"/>
        </w:rPr>
        <w:t xml:space="preserve"> </w:t>
      </w:r>
      <w:r w:rsidR="005143DC">
        <w:rPr>
          <w:b w:val="0"/>
          <w:bCs/>
        </w:rPr>
        <w:t xml:space="preserve">definido en el artículo </w:t>
      </w:r>
      <w:r w:rsidR="00B76EBD">
        <w:rPr>
          <w:b w:val="0"/>
          <w:bCs/>
        </w:rPr>
        <w:t>6</w:t>
      </w:r>
      <w:r w:rsidR="005143DC">
        <w:rPr>
          <w:b w:val="0"/>
          <w:bCs/>
        </w:rPr>
        <w:t xml:space="preserve"> de la Resolución CREG 180 d</w:t>
      </w:r>
      <w:r w:rsidR="007C5D53">
        <w:rPr>
          <w:b w:val="0"/>
          <w:bCs/>
        </w:rPr>
        <w:t xml:space="preserve">e 2014, </w:t>
      </w:r>
      <w:r w:rsidR="00A508A4">
        <w:rPr>
          <w:b w:val="0"/>
          <w:bCs/>
        </w:rPr>
        <w:t xml:space="preserve">para </w:t>
      </w:r>
      <w:r w:rsidR="00AF40FE">
        <w:rPr>
          <w:b w:val="0"/>
          <w:bCs/>
        </w:rPr>
        <w:t>una empresa</w:t>
      </w:r>
      <w:r w:rsidR="00A508A4">
        <w:rPr>
          <w:b w:val="0"/>
          <w:bCs/>
        </w:rPr>
        <w:t xml:space="preserve"> que se traslada al SIN</w:t>
      </w:r>
      <w:r w:rsidR="00EC48D4">
        <w:rPr>
          <w:b w:val="0"/>
          <w:bCs/>
        </w:rPr>
        <w:t xml:space="preserve"> en el nuevo mercado de comercialización</w:t>
      </w:r>
      <w:r w:rsidR="007C5D53">
        <w:rPr>
          <w:b w:val="0"/>
          <w:bCs/>
        </w:rPr>
        <w:t>,</w:t>
      </w:r>
      <w:r w:rsidR="00A508A4">
        <w:rPr>
          <w:b w:val="0"/>
          <w:bCs/>
        </w:rPr>
        <w:t xml:space="preserve"> será de </w:t>
      </w:r>
      <w:r w:rsidR="001359BC">
        <w:rPr>
          <w:b w:val="0"/>
          <w:bCs/>
        </w:rPr>
        <w:t>$7.000 por factura expresado en pesos de diciembre de 2013</w:t>
      </w:r>
      <w:r w:rsidR="005143DC">
        <w:rPr>
          <w:b w:val="0"/>
          <w:bCs/>
        </w:rPr>
        <w:t>.</w:t>
      </w:r>
      <w:bookmarkEnd w:id="15"/>
    </w:p>
    <w:p w14:paraId="57EFFB0B" w14:textId="5ED1EBB6" w:rsidR="005143DC" w:rsidRPr="001F2875" w:rsidRDefault="005143DC" w:rsidP="0078724E">
      <w:pPr>
        <w:pStyle w:val="Artculo"/>
        <w:spacing w:before="360" w:after="0"/>
        <w:ind w:left="0"/>
        <w:outlineLvl w:val="1"/>
      </w:pPr>
      <w:bookmarkStart w:id="16" w:name="_Ref110361360"/>
      <w:r>
        <w:t>Riesgo de cartera.</w:t>
      </w:r>
      <w:r w:rsidR="009E7710">
        <w:t xml:space="preserve"> </w:t>
      </w:r>
      <w:r w:rsidR="009E7710" w:rsidRPr="00AF40FE">
        <w:rPr>
          <w:b w:val="0"/>
          <w:bCs/>
        </w:rPr>
        <w:t xml:space="preserve">El </w:t>
      </w:r>
      <w:r w:rsidR="00324E31">
        <w:rPr>
          <w:b w:val="0"/>
          <w:bCs/>
        </w:rPr>
        <w:t>riesgo de cartera</w:t>
      </w:r>
      <w:r w:rsidR="001B1687">
        <w:rPr>
          <w:b w:val="0"/>
        </w:rPr>
        <w:t xml:space="preserve">, </w:t>
      </w:r>
      <w:proofErr w:type="spellStart"/>
      <w:r w:rsidR="001B1687" w:rsidRPr="00144EF3">
        <w:rPr>
          <w:b w:val="0"/>
          <w:i/>
          <w:iCs/>
        </w:rPr>
        <w:t>RC</w:t>
      </w:r>
      <w:r w:rsidR="001B1687" w:rsidRPr="00144EF3">
        <w:rPr>
          <w:b w:val="0"/>
          <w:i/>
          <w:iCs/>
          <w:vertAlign w:val="subscript"/>
        </w:rPr>
        <w:t>i,j,m</w:t>
      </w:r>
      <w:proofErr w:type="spellEnd"/>
      <w:r w:rsidR="001B1687">
        <w:rPr>
          <w:b w:val="0"/>
        </w:rPr>
        <w:t xml:space="preserve">, </w:t>
      </w:r>
      <w:r w:rsidR="009E7710">
        <w:rPr>
          <w:b w:val="0"/>
          <w:bCs/>
        </w:rPr>
        <w:t xml:space="preserve">definido en el artículo </w:t>
      </w:r>
      <w:r w:rsidR="00AD6621">
        <w:rPr>
          <w:b w:val="0"/>
          <w:bCs/>
        </w:rPr>
        <w:t>14</w:t>
      </w:r>
      <w:r w:rsidR="009E7710">
        <w:rPr>
          <w:b w:val="0"/>
          <w:bCs/>
        </w:rPr>
        <w:t xml:space="preserve"> de la Resolución CREG 180 de 2014, para una empresa que se traslada al SIN</w:t>
      </w:r>
      <w:r w:rsidR="00EC48D4">
        <w:rPr>
          <w:b w:val="0"/>
          <w:bCs/>
        </w:rPr>
        <w:t xml:space="preserve"> en el nuevo mercado de comercialización</w:t>
      </w:r>
      <w:r w:rsidR="009E7710">
        <w:rPr>
          <w:b w:val="0"/>
          <w:bCs/>
        </w:rPr>
        <w:t xml:space="preserve">, será de </w:t>
      </w:r>
      <w:r w:rsidR="00A039FD">
        <w:rPr>
          <w:b w:val="0"/>
          <w:bCs/>
        </w:rPr>
        <w:t>15,22%</w:t>
      </w:r>
      <w:r w:rsidR="009E7710">
        <w:rPr>
          <w:b w:val="0"/>
          <w:bCs/>
        </w:rPr>
        <w:t>.</w:t>
      </w:r>
      <w:bookmarkEnd w:id="16"/>
    </w:p>
    <w:p w14:paraId="7DBC064E" w14:textId="50C2511B" w:rsidR="001F2875" w:rsidRDefault="001F2875" w:rsidP="0078724E">
      <w:pPr>
        <w:pStyle w:val="Artculo"/>
        <w:spacing w:before="360" w:after="0"/>
        <w:ind w:left="0"/>
        <w:outlineLvl w:val="1"/>
      </w:pPr>
      <w:r>
        <w:t>Actualización</w:t>
      </w:r>
      <w:r w:rsidR="001834A1">
        <w:t>.</w:t>
      </w:r>
      <w:r w:rsidR="00C41D34" w:rsidRPr="00B555CE">
        <w:rPr>
          <w:b w:val="0"/>
          <w:bCs/>
        </w:rPr>
        <w:t xml:space="preserve"> </w:t>
      </w:r>
      <w:r w:rsidR="006D2BF0" w:rsidRPr="00B555CE">
        <w:rPr>
          <w:b w:val="0"/>
          <w:bCs/>
        </w:rPr>
        <w:t>El cos</w:t>
      </w:r>
      <w:r w:rsidR="00B3481D" w:rsidRPr="00B555CE">
        <w:rPr>
          <w:b w:val="0"/>
          <w:bCs/>
        </w:rPr>
        <w:t>to base de comercialización se actualizará de acuerdo c</w:t>
      </w:r>
      <w:r w:rsidR="00B555CE">
        <w:rPr>
          <w:b w:val="0"/>
          <w:bCs/>
        </w:rPr>
        <w:t>o</w:t>
      </w:r>
      <w:r w:rsidR="00B3481D" w:rsidRPr="00B555CE">
        <w:rPr>
          <w:b w:val="0"/>
          <w:bCs/>
        </w:rPr>
        <w:t xml:space="preserve">n la fórmula del artículo </w:t>
      </w:r>
      <w:r w:rsidR="00D36E19">
        <w:rPr>
          <w:b w:val="0"/>
          <w:bCs/>
        </w:rPr>
        <w:t>11</w:t>
      </w:r>
      <w:r w:rsidR="00B555CE">
        <w:rPr>
          <w:b w:val="0"/>
          <w:bCs/>
        </w:rPr>
        <w:t xml:space="preserve"> de la Resolución CREG 180 de 2014</w:t>
      </w:r>
      <w:r w:rsidR="00D36E19">
        <w:rPr>
          <w:b w:val="0"/>
          <w:bCs/>
        </w:rPr>
        <w:t xml:space="preserve">. El valor de la variable </w:t>
      </w:r>
      <w:r w:rsidR="00485190">
        <w:rPr>
          <w:b w:val="0"/>
          <w:bCs/>
        </w:rPr>
        <w:t xml:space="preserve">X </w:t>
      </w:r>
      <w:r w:rsidR="0020628F">
        <w:rPr>
          <w:b w:val="0"/>
          <w:bCs/>
        </w:rPr>
        <w:t>es de 0,029</w:t>
      </w:r>
      <w:r w:rsidR="006614EC">
        <w:rPr>
          <w:b w:val="0"/>
          <w:bCs/>
        </w:rPr>
        <w:t>,</w:t>
      </w:r>
      <w:r w:rsidR="00E2391A">
        <w:rPr>
          <w:b w:val="0"/>
          <w:bCs/>
        </w:rPr>
        <w:t xml:space="preserve"> y se mantendrá constante mientras se aplica el cargo base definido en </w:t>
      </w:r>
      <w:r w:rsidR="002670F6">
        <w:rPr>
          <w:b w:val="0"/>
          <w:bCs/>
        </w:rPr>
        <w:t>la presente resolución.</w:t>
      </w:r>
      <w:r w:rsidR="00485190">
        <w:rPr>
          <w:b w:val="0"/>
          <w:bCs/>
        </w:rPr>
        <w:t xml:space="preserve"> </w:t>
      </w:r>
    </w:p>
    <w:p w14:paraId="765A375A" w14:textId="4B1D3500" w:rsidR="002D64A3" w:rsidRPr="002D64A3" w:rsidRDefault="00A1023C" w:rsidP="0078724E">
      <w:pPr>
        <w:pStyle w:val="Artculo"/>
        <w:spacing w:before="360" w:after="0"/>
        <w:ind w:left="0"/>
        <w:outlineLvl w:val="1"/>
      </w:pPr>
      <w:r>
        <w:t>Costos financieros.</w:t>
      </w:r>
      <w:r w:rsidR="0008115F" w:rsidRPr="0008115F">
        <w:rPr>
          <w:b w:val="0"/>
          <w:bCs/>
        </w:rPr>
        <w:t xml:space="preserve"> </w:t>
      </w:r>
      <w:r w:rsidR="003F0E29">
        <w:rPr>
          <w:b w:val="0"/>
        </w:rPr>
        <w:t>Para calcular el f</w:t>
      </w:r>
      <w:r w:rsidR="003F0E29" w:rsidRPr="00D8593D">
        <w:rPr>
          <w:b w:val="0"/>
        </w:rPr>
        <w:t>actor que compensa por los costos financieros asociados al ciclo de efectivo de la actividad de comercialización</w:t>
      </w:r>
      <w:r w:rsidR="003F0E29">
        <w:rPr>
          <w:b w:val="0"/>
        </w:rPr>
        <w:t xml:space="preserve">, </w:t>
      </w:r>
      <w:proofErr w:type="spellStart"/>
      <w:r w:rsidR="003F0E29" w:rsidRPr="1D8F56DF">
        <w:rPr>
          <w:b w:val="0"/>
          <w:i/>
          <w:iCs/>
        </w:rPr>
        <w:t>CF</w:t>
      </w:r>
      <w:r w:rsidR="003F0E29">
        <w:rPr>
          <w:b w:val="0"/>
          <w:i/>
          <w:iCs/>
        </w:rPr>
        <w:t>E</w:t>
      </w:r>
      <w:r w:rsidR="003F0E29" w:rsidRPr="1D8F56DF">
        <w:rPr>
          <w:b w:val="0"/>
          <w:i/>
          <w:iCs/>
          <w:vertAlign w:val="subscript"/>
        </w:rPr>
        <w:t>i,j,m</w:t>
      </w:r>
      <w:proofErr w:type="spellEnd"/>
      <w:r w:rsidR="003F0E29">
        <w:rPr>
          <w:b w:val="0"/>
        </w:rPr>
        <w:t xml:space="preserve">, el factor </w:t>
      </w:r>
      <w:proofErr w:type="spellStart"/>
      <w:r w:rsidR="003F0E29" w:rsidRPr="1D8F56DF">
        <w:rPr>
          <w:b w:val="0"/>
          <w:i/>
          <w:iCs/>
        </w:rPr>
        <w:t>CF</w:t>
      </w:r>
      <w:r w:rsidR="003F0E29">
        <w:rPr>
          <w:b w:val="0"/>
          <w:i/>
          <w:iCs/>
        </w:rPr>
        <w:t>S</w:t>
      </w:r>
      <w:r w:rsidR="003F0E29" w:rsidRPr="1D8F56DF">
        <w:rPr>
          <w:b w:val="0"/>
          <w:i/>
          <w:iCs/>
          <w:vertAlign w:val="subscript"/>
        </w:rPr>
        <w:t>i,j,m</w:t>
      </w:r>
      <w:proofErr w:type="spellEnd"/>
      <w:r w:rsidR="003F0E29">
        <w:rPr>
          <w:b w:val="0"/>
        </w:rPr>
        <w:t>, definido en el artículo 18 de la Resolución CREG 180 de 2014, será igual a cero al inicio de las actividades de la empresa que se traslada al SIN</w:t>
      </w:r>
      <w:r w:rsidR="00EC48D4">
        <w:rPr>
          <w:b w:val="0"/>
        </w:rPr>
        <w:t>, para el nuevo mercado de comercialización</w:t>
      </w:r>
      <w:r w:rsidR="002D64A3">
        <w:rPr>
          <w:b w:val="0"/>
        </w:rPr>
        <w:t xml:space="preserve">. </w:t>
      </w:r>
    </w:p>
    <w:p w14:paraId="4B5DE645" w14:textId="5B5500E1" w:rsidR="0008115F" w:rsidRDefault="00D13FDE" w:rsidP="0045097B">
      <w:r>
        <w:t xml:space="preserve">Una vez hayan transcurrido </w:t>
      </w:r>
      <w:r w:rsidR="00F61D38">
        <w:t>cuatro (</w:t>
      </w:r>
      <w:r w:rsidR="00483DF3" w:rsidRPr="00483DF3">
        <w:t>4</w:t>
      </w:r>
      <w:r w:rsidR="00F61D38">
        <w:t>)</w:t>
      </w:r>
      <w:r w:rsidR="00483DF3" w:rsidRPr="00483DF3">
        <w:t xml:space="preserve"> trimestres</w:t>
      </w:r>
      <w:r w:rsidR="009F4020">
        <w:t xml:space="preserve">, </w:t>
      </w:r>
      <w:r w:rsidR="00514A2A">
        <w:t>después</w:t>
      </w:r>
      <w:r w:rsidR="009F4020">
        <w:t xml:space="preserve"> </w:t>
      </w:r>
      <w:r w:rsidR="005C042D">
        <w:t>de</w:t>
      </w:r>
      <w:r w:rsidR="009F4020">
        <w:t xml:space="preserve">l inicio de aplicación de los </w:t>
      </w:r>
      <w:r w:rsidR="00565280">
        <w:t xml:space="preserve">ingresos </w:t>
      </w:r>
      <w:r w:rsidR="009F4020">
        <w:t xml:space="preserve">de distribución </w:t>
      </w:r>
      <w:r w:rsidR="003047F6">
        <w:t>aprobados con base en la presente resolución,</w:t>
      </w:r>
      <w:r w:rsidR="00483DF3" w:rsidRPr="00483DF3">
        <w:t xml:space="preserve"> en </w:t>
      </w:r>
      <w:r w:rsidR="00C7024B">
        <w:t xml:space="preserve">los </w:t>
      </w:r>
      <w:r w:rsidR="00483DF3" w:rsidRPr="00483DF3">
        <w:t xml:space="preserve">que a la empresa se le haya liquidado subsidios por parte del </w:t>
      </w:r>
      <w:r w:rsidR="00483DF3" w:rsidRPr="00483DF3">
        <w:lastRenderedPageBreak/>
        <w:t xml:space="preserve">Ministerio de Minas y </w:t>
      </w:r>
      <w:r w:rsidR="0062635A">
        <w:t>E</w:t>
      </w:r>
      <w:r w:rsidR="00483DF3" w:rsidRPr="00483DF3">
        <w:t xml:space="preserve">nergía, la empresa </w:t>
      </w:r>
      <w:r w:rsidR="0083508B">
        <w:t>iniciará</w:t>
      </w:r>
      <w:r w:rsidR="0062635A">
        <w:t xml:space="preserve"> </w:t>
      </w:r>
      <w:r w:rsidR="00D60AA7">
        <w:t xml:space="preserve">el cálculo del factor </w:t>
      </w:r>
      <w:proofErr w:type="spellStart"/>
      <w:r w:rsidR="00D60AA7" w:rsidRPr="1D8F56DF">
        <w:rPr>
          <w:i/>
          <w:iCs/>
        </w:rPr>
        <w:t>CF</w:t>
      </w:r>
      <w:r w:rsidR="00D60AA7" w:rsidRPr="002A1871">
        <w:rPr>
          <w:bCs/>
          <w:i/>
          <w:iCs/>
        </w:rPr>
        <w:t>S</w:t>
      </w:r>
      <w:r w:rsidR="00D60AA7" w:rsidRPr="1D8F56DF">
        <w:rPr>
          <w:i/>
          <w:iCs/>
          <w:vertAlign w:val="subscript"/>
        </w:rPr>
        <w:t>i,j,m</w:t>
      </w:r>
      <w:proofErr w:type="spellEnd"/>
      <w:r w:rsidR="00D60AA7">
        <w:t>,</w:t>
      </w:r>
      <w:r w:rsidR="00D60AA7" w:rsidRPr="00483DF3">
        <w:t xml:space="preserve"> </w:t>
      </w:r>
      <w:r w:rsidR="00D60AA7">
        <w:t xml:space="preserve">definido en </w:t>
      </w:r>
      <w:r w:rsidR="00D60AA7" w:rsidRPr="00483DF3">
        <w:t xml:space="preserve">el </w:t>
      </w:r>
      <w:r w:rsidR="00483DF3" w:rsidRPr="00483DF3">
        <w:t>artículo 18 de la Resolución CREG 180 de 2014</w:t>
      </w:r>
      <w:r w:rsidR="004D432D">
        <w:t>,</w:t>
      </w:r>
      <w:r w:rsidR="00483DF3" w:rsidRPr="00483DF3">
        <w:t xml:space="preserve"> que fue modificado por la Resolución </w:t>
      </w:r>
      <w:r w:rsidR="003727EF">
        <w:t xml:space="preserve">CREG </w:t>
      </w:r>
      <w:r w:rsidR="00483DF3" w:rsidRPr="00483DF3">
        <w:t>019 de 2018</w:t>
      </w:r>
      <w:r w:rsidR="009E108E">
        <w:t>.</w:t>
      </w:r>
    </w:p>
    <w:p w14:paraId="7742BD6C" w14:textId="6E24CFA0" w:rsidR="00563602" w:rsidRDefault="00563602" w:rsidP="00563602">
      <w:pPr>
        <w:pStyle w:val="Artculo"/>
        <w:spacing w:before="360" w:after="0"/>
        <w:ind w:left="0"/>
        <w:outlineLvl w:val="1"/>
      </w:pPr>
      <w:r>
        <w:t xml:space="preserve">Transitoriedad. </w:t>
      </w:r>
      <w:r w:rsidRPr="002670F6">
        <w:rPr>
          <w:b w:val="0"/>
          <w:bCs/>
        </w:rPr>
        <w:t xml:space="preserve">El costo base de comercialización y el riesgo de cartera definidos en esta resolución </w:t>
      </w:r>
      <w:r w:rsidR="007E3CF6">
        <w:rPr>
          <w:b w:val="0"/>
          <w:bCs/>
        </w:rPr>
        <w:t xml:space="preserve">para </w:t>
      </w:r>
      <w:r w:rsidR="00565280">
        <w:rPr>
          <w:b w:val="0"/>
          <w:bCs/>
        </w:rPr>
        <w:t xml:space="preserve">los mercados de </w:t>
      </w:r>
      <w:r w:rsidR="007E3CF6">
        <w:rPr>
          <w:b w:val="0"/>
          <w:bCs/>
        </w:rPr>
        <w:t xml:space="preserve">las empresas que se trasladan al SIN </w:t>
      </w:r>
      <w:r w:rsidRPr="002670F6">
        <w:rPr>
          <w:b w:val="0"/>
          <w:bCs/>
        </w:rPr>
        <w:t>s</w:t>
      </w:r>
      <w:r w:rsidR="0033221E">
        <w:rPr>
          <w:b w:val="0"/>
          <w:bCs/>
        </w:rPr>
        <w:t>o</w:t>
      </w:r>
      <w:r w:rsidRPr="002670F6">
        <w:rPr>
          <w:b w:val="0"/>
          <w:bCs/>
        </w:rPr>
        <w:t>n de carácter transitorio</w:t>
      </w:r>
      <w:r w:rsidR="004D432D">
        <w:rPr>
          <w:b w:val="0"/>
          <w:bCs/>
        </w:rPr>
        <w:t>,</w:t>
      </w:r>
      <w:r>
        <w:rPr>
          <w:b w:val="0"/>
          <w:bCs/>
        </w:rPr>
        <w:t xml:space="preserve"> mientras entra en vigencia la nueva metodología de remuneración de la actividad de comercialización que sustituya la Resolución CREG 180 de 2014.</w:t>
      </w:r>
      <w:r w:rsidR="00E11E1D">
        <w:rPr>
          <w:b w:val="0"/>
          <w:bCs/>
        </w:rPr>
        <w:t xml:space="preserve"> Para obtener los cargos definitivos </w:t>
      </w:r>
      <w:r w:rsidR="007E3CF6">
        <w:rPr>
          <w:b w:val="0"/>
          <w:bCs/>
        </w:rPr>
        <w:t xml:space="preserve">cada empresa </w:t>
      </w:r>
      <w:r w:rsidR="00E11E1D">
        <w:rPr>
          <w:b w:val="0"/>
          <w:bCs/>
        </w:rPr>
        <w:t>deberá atender lo que se disponga en esa nueva metodología.</w:t>
      </w:r>
    </w:p>
    <w:p w14:paraId="6CBB1E2F" w14:textId="77777777" w:rsidR="0075222B" w:rsidRDefault="0075222B" w:rsidP="0075222B">
      <w:pPr>
        <w:pStyle w:val="Ttulo"/>
        <w:keepNext/>
        <w:numPr>
          <w:ilvl w:val="0"/>
          <w:numId w:val="9"/>
        </w:numPr>
        <w:spacing w:before="360" w:after="360"/>
        <w:ind w:left="0" w:right="-992" w:hanging="11"/>
        <w:jc w:val="center"/>
        <w:outlineLvl w:val="0"/>
      </w:pPr>
    </w:p>
    <w:p w14:paraId="18C95408" w14:textId="3448B565" w:rsidR="0078724E" w:rsidRDefault="0075222B" w:rsidP="0075222B">
      <w:pPr>
        <w:pStyle w:val="Ttulo"/>
        <w:keepNext/>
        <w:numPr>
          <w:ilvl w:val="0"/>
          <w:numId w:val="0"/>
        </w:numPr>
        <w:spacing w:before="360" w:after="360"/>
        <w:ind w:left="2832" w:right="-283"/>
        <w:outlineLvl w:val="0"/>
      </w:pPr>
      <w:r>
        <w:t xml:space="preserve">   </w:t>
      </w:r>
      <w:r w:rsidR="0078724E">
        <w:t>OTRAS DISPOSICIONES</w:t>
      </w:r>
    </w:p>
    <w:p w14:paraId="6463A76D" w14:textId="77777777" w:rsidR="00232342" w:rsidRDefault="00232342" w:rsidP="0075222B">
      <w:pPr>
        <w:pStyle w:val="Ttulo"/>
        <w:keepNext/>
        <w:numPr>
          <w:ilvl w:val="0"/>
          <w:numId w:val="0"/>
        </w:numPr>
        <w:spacing w:before="360" w:after="360"/>
        <w:ind w:left="2832" w:right="-283"/>
        <w:outlineLvl w:val="0"/>
      </w:pPr>
    </w:p>
    <w:p w14:paraId="480ADB34" w14:textId="5D6D141F" w:rsidR="007C2A2B" w:rsidRPr="005A7489" w:rsidRDefault="00290AF8" w:rsidP="00290AF8">
      <w:pPr>
        <w:pStyle w:val="Artculo"/>
        <w:spacing w:before="360" w:after="0"/>
        <w:ind w:left="0"/>
        <w:outlineLvl w:val="1"/>
        <w:rPr>
          <w:b w:val="0"/>
          <w:bCs/>
        </w:rPr>
      </w:pPr>
      <w:r>
        <w:t>Costos de g</w:t>
      </w:r>
      <w:r w:rsidR="003B0A7E">
        <w:t xml:space="preserve">eneración y </w:t>
      </w:r>
      <w:r w:rsidR="008F7A00">
        <w:t>transmisión</w:t>
      </w:r>
      <w:r w:rsidRPr="00CC24D6">
        <w:t>.</w:t>
      </w:r>
      <w:r w:rsidRPr="005A7489">
        <w:rPr>
          <w:b w:val="0"/>
          <w:bCs/>
        </w:rPr>
        <w:t xml:space="preserve"> </w:t>
      </w:r>
      <w:r w:rsidR="007C2A2B" w:rsidRPr="005A7489">
        <w:rPr>
          <w:b w:val="0"/>
          <w:bCs/>
        </w:rPr>
        <w:t xml:space="preserve">Para la aplicación del parágrafo </w:t>
      </w:r>
      <w:r w:rsidR="007C2A2B">
        <w:rPr>
          <w:b w:val="0"/>
          <w:bCs/>
        </w:rPr>
        <w:t xml:space="preserve">del artículo 44 de la Resolución CREG 091 de 2007 se tendrá en cuenta que la variable </w:t>
      </w:r>
      <w:proofErr w:type="spellStart"/>
      <w:r w:rsidR="007C2A2B" w:rsidRPr="005A7489">
        <w:rPr>
          <w:b w:val="0"/>
          <w:bCs/>
          <w:i/>
          <w:iCs/>
        </w:rPr>
        <w:t>IPR</w:t>
      </w:r>
      <w:r w:rsidR="007C2A2B" w:rsidRPr="005A7489">
        <w:rPr>
          <w:b w:val="0"/>
          <w:bCs/>
          <w:i/>
          <w:iCs/>
          <w:vertAlign w:val="subscript"/>
        </w:rPr>
        <w:t>n,m,j</w:t>
      </w:r>
      <w:proofErr w:type="spellEnd"/>
      <w:r w:rsidR="007C2A2B">
        <w:rPr>
          <w:b w:val="0"/>
          <w:bCs/>
        </w:rPr>
        <w:t xml:space="preserve"> se calcula agregando 10% a la variable </w:t>
      </w:r>
      <w:proofErr w:type="spellStart"/>
      <w:r w:rsidR="007C2A2B" w:rsidRPr="005A7489">
        <w:rPr>
          <w:b w:val="0"/>
          <w:bCs/>
          <w:i/>
          <w:iCs/>
        </w:rPr>
        <w:t>PR</w:t>
      </w:r>
      <w:r w:rsidR="007C2A2B" w:rsidRPr="005A7489">
        <w:rPr>
          <w:b w:val="0"/>
          <w:bCs/>
          <w:i/>
          <w:iCs/>
          <w:vertAlign w:val="subscript"/>
        </w:rPr>
        <w:t>n</w:t>
      </w:r>
      <w:proofErr w:type="spellEnd"/>
      <w:r w:rsidR="007C2A2B" w:rsidRPr="005A7489">
        <w:rPr>
          <w:b w:val="0"/>
          <w:bCs/>
          <w:i/>
          <w:iCs/>
          <w:vertAlign w:val="subscript"/>
        </w:rPr>
        <w:t>,</w:t>
      </w:r>
      <w:r w:rsidR="00A46446">
        <w:rPr>
          <w:b w:val="0"/>
          <w:bCs/>
          <w:i/>
          <w:iCs/>
          <w:vertAlign w:val="subscript"/>
        </w:rPr>
        <w:t>,</w:t>
      </w:r>
      <w:proofErr w:type="spellStart"/>
      <w:r w:rsidR="00A46446">
        <w:rPr>
          <w:b w:val="0"/>
          <w:bCs/>
          <w:i/>
          <w:iCs/>
          <w:vertAlign w:val="subscript"/>
        </w:rPr>
        <w:t>j,t</w:t>
      </w:r>
      <w:proofErr w:type="spellEnd"/>
      <w:r w:rsidR="00A46446">
        <w:rPr>
          <w:b w:val="0"/>
          <w:bCs/>
        </w:rPr>
        <w:t>, calculad</w:t>
      </w:r>
      <w:r w:rsidR="005009DA">
        <w:rPr>
          <w:b w:val="0"/>
          <w:bCs/>
        </w:rPr>
        <w:t>a</w:t>
      </w:r>
      <w:r w:rsidR="00A46446">
        <w:rPr>
          <w:b w:val="0"/>
          <w:bCs/>
        </w:rPr>
        <w:t xml:space="preserve"> de acuerdo con el numeral 7.2 de la </w:t>
      </w:r>
      <w:r w:rsidR="00A46446" w:rsidRPr="00A46446">
        <w:rPr>
          <w:b w:val="0"/>
          <w:bCs/>
          <w:lang w:val="es-MX"/>
        </w:rPr>
        <w:t>Resolución CREG 015 de 2018</w:t>
      </w:r>
      <w:r w:rsidR="00A46446">
        <w:rPr>
          <w:b w:val="0"/>
          <w:bCs/>
          <w:lang w:val="es-MX"/>
        </w:rPr>
        <w:t>,</w:t>
      </w:r>
      <w:r w:rsidR="00A46446" w:rsidRPr="00A46446">
        <w:rPr>
          <w:b w:val="0"/>
          <w:bCs/>
          <w:lang w:val="es-MX"/>
        </w:rPr>
        <w:t xml:space="preserve"> </w:t>
      </w:r>
      <w:r w:rsidR="00A46446">
        <w:rPr>
          <w:b w:val="0"/>
          <w:bCs/>
        </w:rPr>
        <w:t xml:space="preserve"> </w:t>
      </w:r>
      <w:r w:rsidR="005A7489">
        <w:rPr>
          <w:b w:val="0"/>
          <w:bCs/>
        </w:rPr>
        <w:t>perteneciente a</w:t>
      </w:r>
      <w:r w:rsidR="007C2A2B">
        <w:rPr>
          <w:b w:val="0"/>
          <w:bCs/>
        </w:rPr>
        <w:t xml:space="preserve">l </w:t>
      </w:r>
      <w:r w:rsidR="005A7489">
        <w:rPr>
          <w:b w:val="0"/>
          <w:bCs/>
        </w:rPr>
        <w:t xml:space="preserve">nivel de tensión </w:t>
      </w:r>
      <w:r w:rsidR="005A7489" w:rsidRPr="005A7489">
        <w:rPr>
          <w:b w:val="0"/>
          <w:bCs/>
          <w:i/>
          <w:iCs/>
        </w:rPr>
        <w:t>n</w:t>
      </w:r>
      <w:r w:rsidR="005A7489">
        <w:rPr>
          <w:b w:val="0"/>
          <w:bCs/>
        </w:rPr>
        <w:t xml:space="preserve"> del OR donde se conecta</w:t>
      </w:r>
      <w:r w:rsidR="007C2A2B">
        <w:rPr>
          <w:b w:val="0"/>
          <w:bCs/>
        </w:rPr>
        <w:t xml:space="preserve"> </w:t>
      </w:r>
      <w:r w:rsidR="005A7489">
        <w:rPr>
          <w:b w:val="0"/>
          <w:bCs/>
        </w:rPr>
        <w:t>la frontera comercial que permite tomar energía del SIN</w:t>
      </w:r>
      <w:r w:rsidR="00EC48D4">
        <w:rPr>
          <w:b w:val="0"/>
          <w:bCs/>
        </w:rPr>
        <w:t>.</w:t>
      </w:r>
      <w:r w:rsidR="007C2A2B">
        <w:rPr>
          <w:b w:val="0"/>
          <w:bCs/>
        </w:rPr>
        <w:t xml:space="preserve"> </w:t>
      </w:r>
    </w:p>
    <w:p w14:paraId="7420367A" w14:textId="77777777" w:rsidR="005A7489" w:rsidRPr="009A1954" w:rsidRDefault="005A7489" w:rsidP="005A7489">
      <w:pPr>
        <w:pStyle w:val="Artculo"/>
        <w:spacing w:before="360" w:after="0"/>
        <w:ind w:left="0"/>
        <w:outlineLvl w:val="1"/>
      </w:pPr>
      <w:r>
        <w:t>Costos de garantías</w:t>
      </w:r>
      <w:r w:rsidRPr="00CC24D6">
        <w:t>.</w:t>
      </w:r>
      <w:r>
        <w:t xml:space="preserve"> </w:t>
      </w:r>
      <w:r>
        <w:rPr>
          <w:b w:val="0"/>
          <w:bCs/>
        </w:rPr>
        <w:t xml:space="preserve">Se modifica el literal </w:t>
      </w:r>
      <w:proofErr w:type="spellStart"/>
      <w:r>
        <w:rPr>
          <w:b w:val="0"/>
          <w:bCs/>
        </w:rPr>
        <w:t>iv</w:t>
      </w:r>
      <w:proofErr w:type="spellEnd"/>
      <w:r>
        <w:rPr>
          <w:b w:val="0"/>
          <w:bCs/>
        </w:rPr>
        <w:t>) del parágrafo del artículo 44 de la Resolución CREG 091 de 2007, el cual quedará como sigue:</w:t>
      </w:r>
    </w:p>
    <w:p w14:paraId="12D6ECF8" w14:textId="77777777" w:rsidR="005A7489" w:rsidRPr="001C6856" w:rsidRDefault="005A7489" w:rsidP="005A7489">
      <w:pPr>
        <w:pStyle w:val="Artculo"/>
        <w:numPr>
          <w:ilvl w:val="0"/>
          <w:numId w:val="0"/>
        </w:numPr>
        <w:spacing w:before="360" w:after="0"/>
        <w:ind w:left="709" w:right="284" w:hanging="425"/>
        <w:outlineLvl w:val="1"/>
        <w:rPr>
          <w:b w:val="0"/>
          <w:bCs/>
          <w:i/>
          <w:iCs/>
        </w:rPr>
      </w:pPr>
      <w:proofErr w:type="spellStart"/>
      <w:r w:rsidRPr="009A1954">
        <w:rPr>
          <w:b w:val="0"/>
          <w:bCs/>
          <w:i/>
          <w:iCs/>
        </w:rPr>
        <w:t>iv</w:t>
      </w:r>
      <w:proofErr w:type="spellEnd"/>
      <w:r w:rsidRPr="009A1954">
        <w:rPr>
          <w:b w:val="0"/>
          <w:bCs/>
          <w:i/>
          <w:iCs/>
        </w:rPr>
        <w:t>)</w:t>
      </w:r>
      <w:r>
        <w:rPr>
          <w:b w:val="0"/>
          <w:bCs/>
          <w:i/>
          <w:iCs/>
        </w:rPr>
        <w:tab/>
      </w:r>
      <w:r w:rsidRPr="001C6856">
        <w:rPr>
          <w:b w:val="0"/>
          <w:bCs/>
          <w:i/>
          <w:iCs/>
        </w:rPr>
        <w:t>El cargo de comercialización corresponderá al aprobado para las ZNI, adicionado con los costos de las garantías</w:t>
      </w:r>
      <w:r>
        <w:rPr>
          <w:b w:val="0"/>
          <w:bCs/>
          <w:i/>
          <w:iCs/>
        </w:rPr>
        <w:t xml:space="preserve"> financieras en el MEM y las requeridas para </w:t>
      </w:r>
      <w:r w:rsidRPr="002D69FD">
        <w:rPr>
          <w:b w:val="0"/>
          <w:bCs/>
          <w:i/>
          <w:iCs/>
        </w:rPr>
        <w:t>cubrir el pago de los cargos por uso del STR y/o del SDL</w:t>
      </w:r>
      <w:r>
        <w:rPr>
          <w:b w:val="0"/>
          <w:bCs/>
          <w:i/>
          <w:iCs/>
        </w:rPr>
        <w:t>. Para poder adicionar estos costos se requiere que sean declarados</w:t>
      </w:r>
      <w:r w:rsidRPr="0037563D">
        <w:rPr>
          <w:b w:val="0"/>
          <w:bCs/>
          <w:i/>
          <w:iCs/>
        </w:rPr>
        <w:t xml:space="preserve"> a la SSPD a más tardar el último día hábil del mes m-1, </w:t>
      </w:r>
      <w:r>
        <w:rPr>
          <w:b w:val="0"/>
          <w:bCs/>
          <w:i/>
          <w:iCs/>
        </w:rPr>
        <w:t>entregando</w:t>
      </w:r>
      <w:r w:rsidRPr="0037563D">
        <w:rPr>
          <w:b w:val="0"/>
          <w:bCs/>
          <w:i/>
          <w:iCs/>
        </w:rPr>
        <w:t xml:space="preserve"> una copia de las garantías constituidas por el comercializador para realizar la cobertura en el mes m-1. Adicionalmente, dicha información deberá ser publicada en la página web de cada comercializador, en la misma fecha de reporte a la superintendencia</w:t>
      </w:r>
      <w:r>
        <w:rPr>
          <w:b w:val="0"/>
          <w:bCs/>
          <w:i/>
          <w:iCs/>
        </w:rPr>
        <w:t xml:space="preserve">. Estos costos se deben expresar en $/kWh dividiendo el total de costos entre las ventas </w:t>
      </w:r>
      <w:r w:rsidRPr="00BF4902">
        <w:rPr>
          <w:b w:val="0"/>
          <w:bCs/>
          <w:i/>
          <w:iCs/>
        </w:rPr>
        <w:t>totales a usuarios finales, regulados y no regulados</w:t>
      </w:r>
      <w:r>
        <w:rPr>
          <w:b w:val="0"/>
          <w:bCs/>
          <w:i/>
          <w:iCs/>
        </w:rPr>
        <w:t>,</w:t>
      </w:r>
      <w:r w:rsidRPr="00BF4902">
        <w:rPr>
          <w:b w:val="0"/>
          <w:bCs/>
          <w:i/>
          <w:iCs/>
        </w:rPr>
        <w:t xml:space="preserve"> en el mes m-1</w:t>
      </w:r>
      <w:r w:rsidRPr="001C6856">
        <w:rPr>
          <w:b w:val="0"/>
          <w:bCs/>
          <w:i/>
          <w:iCs/>
        </w:rPr>
        <w:t xml:space="preserve">  </w:t>
      </w:r>
    </w:p>
    <w:p w14:paraId="6FDBB924" w14:textId="3CA9E186" w:rsidR="00290AF8" w:rsidRPr="00DA5AAE" w:rsidRDefault="005A7489" w:rsidP="00290AF8">
      <w:pPr>
        <w:pStyle w:val="Artculo"/>
        <w:spacing w:before="360" w:after="0"/>
        <w:ind w:left="0"/>
        <w:outlineLvl w:val="1"/>
      </w:pPr>
      <w:r w:rsidRPr="00DA5AAE">
        <w:t>Fronteras de distribución.</w:t>
      </w:r>
      <w:r>
        <w:rPr>
          <w:b w:val="0"/>
          <w:bCs/>
        </w:rPr>
        <w:t xml:space="preserve"> Para el registro de las </w:t>
      </w:r>
      <w:r w:rsidR="00C95571">
        <w:rPr>
          <w:b w:val="0"/>
          <w:bCs/>
        </w:rPr>
        <w:t xml:space="preserve">fronteras </w:t>
      </w:r>
      <w:r>
        <w:rPr>
          <w:b w:val="0"/>
          <w:bCs/>
        </w:rPr>
        <w:t xml:space="preserve">de distribución de que trata el </w:t>
      </w:r>
      <w:r w:rsidR="00257C15">
        <w:rPr>
          <w:b w:val="0"/>
          <w:bCs/>
        </w:rPr>
        <w:t xml:space="preserve">artículo </w:t>
      </w:r>
      <w:r w:rsidR="00A46446">
        <w:rPr>
          <w:b w:val="0"/>
          <w:bCs/>
        </w:rPr>
        <w:t>20</w:t>
      </w:r>
      <w:r w:rsidR="00257C15">
        <w:rPr>
          <w:b w:val="0"/>
          <w:bCs/>
        </w:rPr>
        <w:t xml:space="preserve"> de la Resolución CREG 0</w:t>
      </w:r>
      <w:r w:rsidR="00A46446">
        <w:rPr>
          <w:b w:val="0"/>
          <w:bCs/>
        </w:rPr>
        <w:t>38</w:t>
      </w:r>
      <w:r w:rsidR="00257C15">
        <w:rPr>
          <w:b w:val="0"/>
          <w:bCs/>
        </w:rPr>
        <w:t xml:space="preserve"> de 20</w:t>
      </w:r>
      <w:r w:rsidR="00A46446">
        <w:rPr>
          <w:b w:val="0"/>
          <w:bCs/>
        </w:rPr>
        <w:t>14,</w:t>
      </w:r>
      <w:r w:rsidR="0066097F">
        <w:rPr>
          <w:b w:val="0"/>
          <w:bCs/>
        </w:rPr>
        <w:t xml:space="preserve"> </w:t>
      </w:r>
      <w:r w:rsidR="00A46446">
        <w:rPr>
          <w:b w:val="0"/>
          <w:bCs/>
        </w:rPr>
        <w:t xml:space="preserve">la empresa que se traslada al SIN tendrá un plazo de </w:t>
      </w:r>
      <w:r w:rsidR="00375AAC">
        <w:rPr>
          <w:b w:val="0"/>
          <w:bCs/>
        </w:rPr>
        <w:t>24</w:t>
      </w:r>
      <w:r w:rsidR="00A46446">
        <w:rPr>
          <w:b w:val="0"/>
          <w:bCs/>
        </w:rPr>
        <w:t xml:space="preserve"> </w:t>
      </w:r>
      <w:r w:rsidR="007C03EE">
        <w:rPr>
          <w:b w:val="0"/>
          <w:bCs/>
        </w:rPr>
        <w:t>meses a</w:t>
      </w:r>
      <w:r w:rsidR="00A46446">
        <w:rPr>
          <w:b w:val="0"/>
          <w:bCs/>
        </w:rPr>
        <w:t xml:space="preserve"> partir de</w:t>
      </w:r>
      <w:r w:rsidR="0008356F">
        <w:rPr>
          <w:b w:val="0"/>
          <w:bCs/>
        </w:rPr>
        <w:t xml:space="preserve"> la entrada en vigencia de la resolución que apruebe el ingreso de distribución</w:t>
      </w:r>
      <w:r w:rsidR="00EC48D4">
        <w:rPr>
          <w:b w:val="0"/>
          <w:bCs/>
        </w:rPr>
        <w:t xml:space="preserve"> para el nuevo mercado de comercialización</w:t>
      </w:r>
      <w:r w:rsidR="00724205" w:rsidRPr="00724205">
        <w:rPr>
          <w:b w:val="0"/>
          <w:bCs/>
        </w:rPr>
        <w:t>.</w:t>
      </w:r>
    </w:p>
    <w:p w14:paraId="4BD9DD57" w14:textId="5A27165E" w:rsidR="0078724E" w:rsidRPr="001C6856" w:rsidRDefault="0078724E" w:rsidP="0078724E">
      <w:pPr>
        <w:pStyle w:val="Artculo"/>
        <w:spacing w:before="360" w:after="0"/>
        <w:ind w:left="0"/>
        <w:outlineLvl w:val="1"/>
      </w:pPr>
      <w:r w:rsidRPr="00CC24D6">
        <w:lastRenderedPageBreak/>
        <w:t>Vigencia.</w:t>
      </w:r>
      <w:r>
        <w:t xml:space="preserve"> </w:t>
      </w:r>
      <w:r w:rsidRPr="00FB61AB">
        <w:rPr>
          <w:b w:val="0"/>
          <w:bCs/>
        </w:rPr>
        <w:t xml:space="preserve">La presente resolución rige a partir de la fecha de su publicación en el </w:t>
      </w:r>
      <w:r w:rsidRPr="00E10253">
        <w:rPr>
          <w:b w:val="0"/>
          <w:bCs/>
          <w:i/>
          <w:iCs/>
        </w:rPr>
        <w:t>Diario Oficial</w:t>
      </w:r>
      <w:r w:rsidRPr="00FB61AB">
        <w:rPr>
          <w:b w:val="0"/>
          <w:bCs/>
        </w:rPr>
        <w:t xml:space="preserve"> y deroga las normas que le sean contrarias</w:t>
      </w:r>
      <w:r w:rsidR="00260C89" w:rsidRPr="00FB61AB">
        <w:rPr>
          <w:b w:val="0"/>
          <w:bCs/>
        </w:rPr>
        <w:t>, en particular la Resolución CREG 157 de 200</w:t>
      </w:r>
      <w:r w:rsidR="005B7A63" w:rsidRPr="00FB61AB">
        <w:rPr>
          <w:b w:val="0"/>
          <w:bCs/>
        </w:rPr>
        <w:t>9</w:t>
      </w:r>
      <w:r w:rsidRPr="00FB61AB">
        <w:rPr>
          <w:b w:val="0"/>
          <w:bCs/>
        </w:rPr>
        <w:t>.</w:t>
      </w:r>
      <w:r w:rsidRPr="001C6856">
        <w:t xml:space="preserve">  </w:t>
      </w:r>
    </w:p>
    <w:p w14:paraId="3393DAA5" w14:textId="77777777" w:rsidR="00DF76BF" w:rsidRPr="00530AAE" w:rsidRDefault="00DF76BF" w:rsidP="0039232F">
      <w:pPr>
        <w:spacing w:before="360" w:after="0"/>
        <w:jc w:val="center"/>
        <w:rPr>
          <w:rFonts w:cs="Courier New"/>
          <w:b/>
          <w:bCs/>
          <w:spacing w:val="-3"/>
        </w:rPr>
      </w:pPr>
      <w:r w:rsidRPr="00530AAE">
        <w:rPr>
          <w:b/>
          <w:bCs/>
        </w:rPr>
        <w:t>PUBLÍQUESE Y CÚMPLASE</w:t>
      </w:r>
    </w:p>
    <w:p w14:paraId="5743E340" w14:textId="201B18FD" w:rsidR="00530AAE" w:rsidRPr="00530AAE" w:rsidRDefault="00530AAE" w:rsidP="00E10253">
      <w:pPr>
        <w:spacing w:before="240" w:after="0"/>
        <w:rPr>
          <w:rFonts w:cs="Arial"/>
          <w:spacing w:val="-3"/>
        </w:rPr>
      </w:pPr>
      <w:r w:rsidRPr="00530AAE">
        <w:rPr>
          <w:rFonts w:cs="Arial"/>
          <w:spacing w:val="-3"/>
        </w:rPr>
        <w:t xml:space="preserve">Dada en Bogotá, D.C. a </w:t>
      </w:r>
      <w:r w:rsidR="00232342">
        <w:rPr>
          <w:rFonts w:cs="Arial"/>
          <w:spacing w:val="-3"/>
        </w:rPr>
        <w:t>los 20 días del mes de enero de 2023.</w:t>
      </w:r>
    </w:p>
    <w:p w14:paraId="6271FC2B" w14:textId="77777777" w:rsidR="00530AAE" w:rsidRPr="00530AAE" w:rsidRDefault="00530AAE" w:rsidP="00530AAE">
      <w:pPr>
        <w:spacing w:before="240" w:after="0"/>
        <w:rPr>
          <w:rFonts w:cs="Arial"/>
        </w:rPr>
      </w:pPr>
    </w:p>
    <w:p w14:paraId="49E3E95E" w14:textId="77777777" w:rsidR="00530AAE" w:rsidRPr="00530AAE" w:rsidRDefault="00530AAE" w:rsidP="00530AAE">
      <w:pPr>
        <w:spacing w:before="240" w:after="0"/>
        <w:rPr>
          <w:rFonts w:cs="Arial"/>
        </w:rPr>
      </w:pPr>
    </w:p>
    <w:tbl>
      <w:tblPr>
        <w:tblW w:w="9639" w:type="dxa"/>
        <w:jc w:val="center"/>
        <w:tblCellSpacing w:w="0" w:type="dxa"/>
        <w:tblCellMar>
          <w:left w:w="0" w:type="dxa"/>
          <w:right w:w="0" w:type="dxa"/>
        </w:tblCellMar>
        <w:tblLook w:val="04A0" w:firstRow="1" w:lastRow="0" w:firstColumn="1" w:lastColumn="0" w:noHBand="0" w:noVBand="1"/>
      </w:tblPr>
      <w:tblGrid>
        <w:gridCol w:w="4962"/>
        <w:gridCol w:w="4677"/>
      </w:tblGrid>
      <w:tr w:rsidR="00530AAE" w:rsidRPr="00530AAE" w14:paraId="7A75815D" w14:textId="77777777" w:rsidTr="00CD30D1">
        <w:trPr>
          <w:tblCellSpacing w:w="0" w:type="dxa"/>
          <w:jc w:val="center"/>
        </w:trPr>
        <w:tc>
          <w:tcPr>
            <w:tcW w:w="4962" w:type="dxa"/>
          </w:tcPr>
          <w:p w14:paraId="477C9CA1" w14:textId="5C3D999C" w:rsidR="00530AAE" w:rsidRPr="00530AAE" w:rsidRDefault="00E10253" w:rsidP="00CD30D1">
            <w:pPr>
              <w:spacing w:before="0" w:after="0"/>
              <w:ind w:left="66"/>
              <w:jc w:val="center"/>
              <w:rPr>
                <w:rFonts w:cs="Arial"/>
                <w:b/>
              </w:rPr>
            </w:pPr>
            <w:r w:rsidRPr="00E10253">
              <w:rPr>
                <w:rFonts w:cs="Arial"/>
                <w:b/>
              </w:rPr>
              <w:t>CARLOS ADRIÁN CORREA FLÓREZ</w:t>
            </w:r>
            <w:r w:rsidR="00530AAE" w:rsidRPr="00530AAE">
              <w:rPr>
                <w:rFonts w:cs="Arial"/>
                <w:b/>
              </w:rPr>
              <w:t xml:space="preserve"> </w:t>
            </w:r>
          </w:p>
        </w:tc>
        <w:tc>
          <w:tcPr>
            <w:tcW w:w="4677" w:type="dxa"/>
          </w:tcPr>
          <w:p w14:paraId="1291B265" w14:textId="72FEA7E6" w:rsidR="00530AAE" w:rsidRPr="00530AAE" w:rsidRDefault="00530AAE" w:rsidP="00CD30D1">
            <w:pPr>
              <w:spacing w:before="0" w:after="0"/>
              <w:ind w:left="69"/>
              <w:jc w:val="center"/>
              <w:rPr>
                <w:rFonts w:cs="Arial"/>
                <w:b/>
              </w:rPr>
            </w:pPr>
            <w:r w:rsidRPr="00530AAE">
              <w:rPr>
                <w:rFonts w:cs="Arial"/>
                <w:b/>
              </w:rPr>
              <w:t>JO</w:t>
            </w:r>
            <w:r>
              <w:rPr>
                <w:rFonts w:cs="Arial"/>
                <w:b/>
              </w:rPr>
              <w:t>SÉ</w:t>
            </w:r>
            <w:r w:rsidRPr="00530AAE">
              <w:rPr>
                <w:rFonts w:cs="Arial"/>
                <w:b/>
              </w:rPr>
              <w:t xml:space="preserve"> </w:t>
            </w:r>
            <w:r>
              <w:rPr>
                <w:rFonts w:cs="Arial"/>
                <w:b/>
              </w:rPr>
              <w:t>F</w:t>
            </w:r>
            <w:r w:rsidRPr="00530AAE">
              <w:rPr>
                <w:rFonts w:cs="Arial"/>
                <w:b/>
              </w:rPr>
              <w:t>ER</w:t>
            </w:r>
            <w:r>
              <w:rPr>
                <w:rFonts w:cs="Arial"/>
                <w:b/>
              </w:rPr>
              <w:t>NAND</w:t>
            </w:r>
            <w:r w:rsidRPr="00530AAE">
              <w:rPr>
                <w:rFonts w:cs="Arial"/>
                <w:b/>
              </w:rPr>
              <w:t xml:space="preserve">O </w:t>
            </w:r>
            <w:r>
              <w:rPr>
                <w:rFonts w:cs="Arial"/>
                <w:b/>
              </w:rPr>
              <w:t>PRAD</w:t>
            </w:r>
            <w:r w:rsidRPr="00530AAE">
              <w:rPr>
                <w:rFonts w:cs="Arial"/>
                <w:b/>
              </w:rPr>
              <w:t>A RÍ</w:t>
            </w:r>
            <w:r>
              <w:rPr>
                <w:rFonts w:cs="Arial"/>
                <w:b/>
              </w:rPr>
              <w:t>OS</w:t>
            </w:r>
          </w:p>
        </w:tc>
      </w:tr>
      <w:tr w:rsidR="00530AAE" w:rsidRPr="00530AAE" w14:paraId="62D6176C" w14:textId="77777777" w:rsidTr="00CD30D1">
        <w:trPr>
          <w:tblCellSpacing w:w="0" w:type="dxa"/>
          <w:jc w:val="center"/>
        </w:trPr>
        <w:tc>
          <w:tcPr>
            <w:tcW w:w="4962" w:type="dxa"/>
            <w:hideMark/>
          </w:tcPr>
          <w:p w14:paraId="08F0C13A" w14:textId="675F8D6E" w:rsidR="00530AAE" w:rsidRPr="00530AAE" w:rsidRDefault="00530AAE" w:rsidP="00CD30D1">
            <w:pPr>
              <w:spacing w:before="0" w:after="0"/>
              <w:ind w:left="66"/>
              <w:jc w:val="center"/>
              <w:rPr>
                <w:rFonts w:eastAsia="Arial Unicode MS" w:cs="Arial"/>
                <w:color w:val="000000"/>
              </w:rPr>
            </w:pPr>
            <w:r w:rsidRPr="00530AAE">
              <w:rPr>
                <w:rFonts w:cs="Arial"/>
              </w:rPr>
              <w:t>Ministr</w:t>
            </w:r>
            <w:r w:rsidR="00E10253">
              <w:rPr>
                <w:rFonts w:cs="Arial"/>
              </w:rPr>
              <w:t>o</w:t>
            </w:r>
            <w:r w:rsidRPr="00530AAE">
              <w:rPr>
                <w:rFonts w:cs="Arial"/>
              </w:rPr>
              <w:t xml:space="preserve"> de Minas y Energía</w:t>
            </w:r>
            <w:r w:rsidR="00E10253">
              <w:rPr>
                <w:rFonts w:cs="Arial"/>
              </w:rPr>
              <w:t xml:space="preserve"> (E)</w:t>
            </w:r>
          </w:p>
        </w:tc>
        <w:tc>
          <w:tcPr>
            <w:tcW w:w="4677" w:type="dxa"/>
            <w:hideMark/>
          </w:tcPr>
          <w:p w14:paraId="17318C0A" w14:textId="77777777" w:rsidR="00530AAE" w:rsidRPr="00530AAE" w:rsidRDefault="00530AAE" w:rsidP="00CD30D1">
            <w:pPr>
              <w:spacing w:before="0" w:after="0"/>
              <w:jc w:val="center"/>
              <w:rPr>
                <w:rFonts w:eastAsia="Arial Unicode MS" w:cs="Arial"/>
                <w:color w:val="000000"/>
              </w:rPr>
            </w:pPr>
            <w:r w:rsidRPr="00530AAE">
              <w:rPr>
                <w:rFonts w:cs="Arial"/>
              </w:rPr>
              <w:t xml:space="preserve">Director Ejecutivo </w:t>
            </w:r>
          </w:p>
        </w:tc>
      </w:tr>
      <w:tr w:rsidR="00530AAE" w:rsidRPr="00530AAE" w14:paraId="32542DA8" w14:textId="77777777" w:rsidTr="00CD30D1">
        <w:trPr>
          <w:tblCellSpacing w:w="0" w:type="dxa"/>
          <w:jc w:val="center"/>
        </w:trPr>
        <w:tc>
          <w:tcPr>
            <w:tcW w:w="4962" w:type="dxa"/>
            <w:hideMark/>
          </w:tcPr>
          <w:p w14:paraId="4A4D887D" w14:textId="77777777" w:rsidR="00530AAE" w:rsidRPr="00530AAE" w:rsidRDefault="00530AAE" w:rsidP="00CD30D1">
            <w:pPr>
              <w:spacing w:before="0" w:after="0"/>
              <w:ind w:left="66"/>
              <w:jc w:val="center"/>
              <w:rPr>
                <w:rFonts w:eastAsia="Arial Unicode MS" w:cs="Arial"/>
                <w:color w:val="000000"/>
              </w:rPr>
            </w:pPr>
            <w:r w:rsidRPr="00530AAE">
              <w:rPr>
                <w:rFonts w:cs="Arial"/>
              </w:rPr>
              <w:t>Presidente</w:t>
            </w:r>
          </w:p>
        </w:tc>
        <w:tc>
          <w:tcPr>
            <w:tcW w:w="4677" w:type="dxa"/>
          </w:tcPr>
          <w:p w14:paraId="1B79FFB9" w14:textId="77777777" w:rsidR="00530AAE" w:rsidRPr="00530AAE" w:rsidRDefault="00530AAE" w:rsidP="00CD30D1">
            <w:pPr>
              <w:spacing w:before="0" w:after="0"/>
              <w:jc w:val="center"/>
              <w:rPr>
                <w:rFonts w:eastAsia="Arial Unicode MS" w:cs="Arial"/>
                <w:color w:val="000000"/>
              </w:rPr>
            </w:pPr>
          </w:p>
        </w:tc>
      </w:tr>
    </w:tbl>
    <w:p w14:paraId="3D65E17D" w14:textId="41CA3F4E" w:rsidR="0078724E" w:rsidRPr="00E10253" w:rsidRDefault="0078724E" w:rsidP="0039232F">
      <w:pPr>
        <w:rPr>
          <w:bCs/>
          <w:sz w:val="4"/>
          <w:szCs w:val="4"/>
        </w:rPr>
      </w:pPr>
    </w:p>
    <w:sectPr w:rsidR="0078724E" w:rsidRPr="00E10253" w:rsidSect="000B7990">
      <w:headerReference w:type="default" r:id="rId13"/>
      <w:headerReference w:type="first" r:id="rId14"/>
      <w:type w:val="continuous"/>
      <w:pgSz w:w="12242" w:h="18722" w:code="123"/>
      <w:pgMar w:top="2268"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88B93" w14:textId="77777777" w:rsidR="00F00054" w:rsidRDefault="00F00054">
      <w:r>
        <w:separator/>
      </w:r>
    </w:p>
    <w:p w14:paraId="571F2B31" w14:textId="77777777" w:rsidR="00F00054" w:rsidRDefault="00F00054"/>
    <w:p w14:paraId="61C8D7C2" w14:textId="77777777" w:rsidR="00F00054" w:rsidRDefault="00F00054" w:rsidP="00C851C0"/>
  </w:endnote>
  <w:endnote w:type="continuationSeparator" w:id="0">
    <w:p w14:paraId="2ABE8978" w14:textId="77777777" w:rsidR="00F00054" w:rsidRDefault="00F00054">
      <w:r>
        <w:continuationSeparator/>
      </w:r>
    </w:p>
    <w:p w14:paraId="6AAC7B69" w14:textId="77777777" w:rsidR="00F00054" w:rsidRDefault="00F00054"/>
    <w:p w14:paraId="76075B89" w14:textId="77777777" w:rsidR="00F00054" w:rsidRDefault="00F00054" w:rsidP="00C851C0"/>
  </w:endnote>
  <w:endnote w:type="continuationNotice" w:id="1">
    <w:p w14:paraId="6C4643E5" w14:textId="77777777" w:rsidR="00F00054" w:rsidRDefault="00F0005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Merriweather">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60614" w14:textId="77777777" w:rsidR="00F00054" w:rsidRDefault="00F00054">
      <w:r>
        <w:separator/>
      </w:r>
    </w:p>
    <w:p w14:paraId="5F83F5A5" w14:textId="77777777" w:rsidR="00F00054" w:rsidRDefault="00F00054"/>
    <w:p w14:paraId="6473B4FF" w14:textId="77777777" w:rsidR="00F00054" w:rsidRDefault="00F00054" w:rsidP="00C851C0"/>
  </w:footnote>
  <w:footnote w:type="continuationSeparator" w:id="0">
    <w:p w14:paraId="2CE9E2E4" w14:textId="77777777" w:rsidR="00F00054" w:rsidRDefault="00F00054">
      <w:r>
        <w:continuationSeparator/>
      </w:r>
    </w:p>
    <w:p w14:paraId="23B21AB3" w14:textId="77777777" w:rsidR="00F00054" w:rsidRDefault="00F00054"/>
    <w:p w14:paraId="02B6FEA7" w14:textId="77777777" w:rsidR="00F00054" w:rsidRDefault="00F00054" w:rsidP="00C851C0"/>
  </w:footnote>
  <w:footnote w:type="continuationNotice" w:id="1">
    <w:p w14:paraId="4CC1D232" w14:textId="77777777" w:rsidR="00F00054" w:rsidRDefault="00F0005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D277" w14:textId="6298812B" w:rsidR="009C1EF5" w:rsidRPr="002560C5" w:rsidRDefault="009C1EF5" w:rsidP="002560C5">
    <w:pPr>
      <w:pStyle w:val="Ttulo1"/>
      <w:numPr>
        <w:ilvl w:val="0"/>
        <w:numId w:val="0"/>
      </w:numPr>
      <w:ind w:right="6"/>
      <w:jc w:val="left"/>
      <w:rPr>
        <w:rFonts w:cs="Arial"/>
        <w:b w:val="0"/>
        <w:sz w:val="22"/>
        <w:szCs w:val="22"/>
      </w:rPr>
    </w:pPr>
    <w:r w:rsidRPr="002E41B6">
      <w:rPr>
        <w:rFonts w:cs="Arial"/>
        <w:b w:val="0"/>
        <w:sz w:val="22"/>
        <w:szCs w:val="22"/>
      </w:rPr>
      <w:t xml:space="preserve">RESOLUCIÓN No. </w:t>
    </w:r>
    <w:r w:rsidR="003D7021">
      <w:rPr>
        <w:rFonts w:cs="Arial"/>
        <w:bCs/>
        <w:szCs w:val="24"/>
        <w:u w:val="single"/>
      </w:rPr>
      <w:t>1</w:t>
    </w:r>
    <w:r w:rsidR="003D7021" w:rsidRPr="002E41B6">
      <w:rPr>
        <w:rFonts w:cs="Arial"/>
        <w:bCs/>
        <w:szCs w:val="24"/>
        <w:u w:val="single"/>
      </w:rPr>
      <w:t xml:space="preserve">01 </w:t>
    </w:r>
    <w:r w:rsidR="0075222B" w:rsidRPr="002E41B6">
      <w:rPr>
        <w:rFonts w:cs="Arial"/>
        <w:bCs/>
        <w:szCs w:val="24"/>
        <w:u w:val="single"/>
      </w:rPr>
      <w:t>0</w:t>
    </w:r>
    <w:r w:rsidR="0075222B">
      <w:rPr>
        <w:rFonts w:cs="Arial"/>
        <w:bCs/>
        <w:szCs w:val="24"/>
        <w:u w:val="single"/>
      </w:rPr>
      <w:t xml:space="preserve">03 </w:t>
    </w:r>
    <w:r w:rsidR="0075222B">
      <w:rPr>
        <w:rFonts w:cs="Arial"/>
        <w:bCs/>
        <w:szCs w:val="24"/>
        <w:u w:val="single"/>
      </w:rPr>
      <w:tab/>
    </w:r>
    <w:r w:rsidRPr="002E41B6">
      <w:rPr>
        <w:rFonts w:cs="Arial"/>
        <w:b w:val="0"/>
        <w:sz w:val="22"/>
        <w:szCs w:val="22"/>
      </w:rPr>
      <w:t xml:space="preserve">DE </w:t>
    </w:r>
    <w:r w:rsidR="003D7021">
      <w:rPr>
        <w:rFonts w:cs="Arial"/>
        <w:bCs/>
        <w:szCs w:val="24"/>
        <w:u w:val="single"/>
      </w:rPr>
      <w:t>_</w:t>
    </w:r>
    <w:r w:rsidR="0075222B">
      <w:rPr>
        <w:rFonts w:cs="Arial"/>
        <w:bCs/>
        <w:szCs w:val="24"/>
        <w:u w:val="single"/>
      </w:rPr>
      <w:t>20</w:t>
    </w:r>
    <w:r w:rsidR="003D7021">
      <w:rPr>
        <w:rFonts w:cs="Arial"/>
        <w:bCs/>
        <w:szCs w:val="24"/>
        <w:u w:val="single"/>
      </w:rPr>
      <w:t>_</w:t>
    </w:r>
    <w:r w:rsidR="003D7021" w:rsidRPr="00DA3A9D">
      <w:rPr>
        <w:rFonts w:cs="Arial"/>
        <w:bCs/>
        <w:szCs w:val="24"/>
        <w:u w:val="single"/>
      </w:rPr>
      <w:t xml:space="preserve"> </w:t>
    </w:r>
    <w:r w:rsidR="004826E9">
      <w:rPr>
        <w:rFonts w:cs="Arial"/>
        <w:bCs/>
        <w:szCs w:val="24"/>
        <w:u w:val="single"/>
      </w:rPr>
      <w:t>ENE</w:t>
    </w:r>
    <w:r w:rsidR="00DA3A9D" w:rsidRPr="00DA3A9D">
      <w:rPr>
        <w:rFonts w:cs="Arial"/>
        <w:bCs/>
        <w:szCs w:val="24"/>
        <w:u w:val="single"/>
      </w:rPr>
      <w:t xml:space="preserve">. </w:t>
    </w:r>
    <w:r w:rsidR="00E70532" w:rsidRPr="00DA3A9D">
      <w:rPr>
        <w:rFonts w:cs="Arial"/>
        <w:bCs/>
        <w:szCs w:val="24"/>
        <w:u w:val="single"/>
      </w:rPr>
      <w:t>202</w:t>
    </w:r>
    <w:r w:rsidR="004826E9">
      <w:rPr>
        <w:rFonts w:cs="Arial"/>
        <w:bCs/>
        <w:szCs w:val="24"/>
        <w:u w:val="single"/>
      </w:rPr>
      <w:t>3</w:t>
    </w:r>
    <w:r w:rsidRPr="002E41B6">
      <w:rPr>
        <w:rFonts w:cs="Arial"/>
        <w:b w:val="0"/>
        <w:sz w:val="22"/>
        <w:szCs w:val="22"/>
      </w:rPr>
      <w:tab/>
      <w:t xml:space="preserve">HOJA No. </w:t>
    </w:r>
    <w:r w:rsidRPr="002E41B6">
      <w:rPr>
        <w:rFonts w:cs="Arial"/>
        <w:b w:val="0"/>
        <w:sz w:val="22"/>
        <w:szCs w:val="22"/>
      </w:rPr>
      <w:fldChar w:fldCharType="begin"/>
    </w:r>
    <w:r w:rsidRPr="002E41B6">
      <w:rPr>
        <w:rFonts w:cs="Arial"/>
        <w:b w:val="0"/>
        <w:sz w:val="22"/>
        <w:szCs w:val="22"/>
      </w:rPr>
      <w:instrText xml:space="preserve"> PAGE   \* MERGEFORMAT </w:instrText>
    </w:r>
    <w:r w:rsidRPr="002E41B6">
      <w:rPr>
        <w:rFonts w:cs="Arial"/>
        <w:b w:val="0"/>
        <w:sz w:val="22"/>
        <w:szCs w:val="22"/>
      </w:rPr>
      <w:fldChar w:fldCharType="separate"/>
    </w:r>
    <w:r w:rsidRPr="002E41B6">
      <w:rPr>
        <w:rFonts w:cs="Arial"/>
        <w:b w:val="0"/>
        <w:noProof/>
        <w:sz w:val="22"/>
        <w:szCs w:val="22"/>
      </w:rPr>
      <w:t>3</w:t>
    </w:r>
    <w:r w:rsidRPr="002E41B6">
      <w:rPr>
        <w:rFonts w:cs="Arial"/>
        <w:b w:val="0"/>
        <w:sz w:val="22"/>
        <w:szCs w:val="22"/>
      </w:rPr>
      <w:fldChar w:fldCharType="end"/>
    </w:r>
    <w:r w:rsidRPr="002E41B6">
      <w:rPr>
        <w:rFonts w:cs="Arial"/>
        <w:b w:val="0"/>
        <w:sz w:val="22"/>
        <w:szCs w:val="22"/>
      </w:rPr>
      <w:t>/</w:t>
    </w:r>
    <w:fldSimple w:instr="NUMPAGES  \* MERGEFORMAT">
      <w:r w:rsidRPr="002E41B6">
        <w:rPr>
          <w:rFonts w:cs="Arial"/>
          <w:b w:val="0"/>
          <w:noProof/>
          <w:sz w:val="22"/>
          <w:szCs w:val="22"/>
        </w:rPr>
        <w:t>7</w:t>
      </w:r>
    </w:fldSimple>
  </w:p>
  <w:p w14:paraId="5EEBDD92" w14:textId="77777777" w:rsidR="009C1EF5" w:rsidRDefault="009C1EF5" w:rsidP="00AD01E4">
    <w:pPr>
      <w:ind w:left="142" w:right="148"/>
      <w:rPr>
        <w:rFonts w:cs="Arial"/>
      </w:rPr>
    </w:pPr>
    <w:r w:rsidRPr="0042068C">
      <w:rPr>
        <w:noProof/>
        <w:lang w:val="es-CO" w:eastAsia="es-CO"/>
      </w:rPr>
      <mc:AlternateContent>
        <mc:Choice Requires="wps">
          <w:drawing>
            <wp:anchor distT="0" distB="0" distL="114300" distR="114300" simplePos="0" relativeHeight="251658240" behindDoc="0" locked="0" layoutInCell="1" allowOverlap="1" wp14:anchorId="00F492FC" wp14:editId="41B78FEF">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1F482" id="Rectangle 1" o:spid="_x0000_s1026" style="position:absolute;margin-left:-9.55pt;margin-top:11.15pt;width:493.5pt;height:7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Pf69TsHAgAA&#10;7wMAAA4AAAAAAAAAAAAAAAAALgIAAGRycy9lMm9Eb2MueG1sUEsBAi0AFAAGAAgAAAAhAMZu6Pvj&#10;AAAACwEAAA8AAAAAAAAAAAAAAAAAYQQAAGRycy9kb3ducmV2LnhtbFBLBQYAAAAABAAEAPMAAABx&#10;BQAAAAA=&#10;" filled="f" strokeweight="1.5pt"/>
          </w:pict>
        </mc:Fallback>
      </mc:AlternateContent>
    </w:r>
  </w:p>
  <w:p w14:paraId="19A008AD" w14:textId="1F342FC0" w:rsidR="009C1EF5" w:rsidRPr="00897260" w:rsidRDefault="006C06F2" w:rsidP="00897260">
    <w:pPr>
      <w:pBdr>
        <w:bottom w:val="single" w:sz="4" w:space="6" w:color="auto"/>
      </w:pBdr>
      <w:spacing w:after="0"/>
      <w:rPr>
        <w:i/>
        <w:iCs/>
        <w:sz w:val="22"/>
        <w:szCs w:val="22"/>
      </w:rPr>
    </w:pPr>
    <w:r w:rsidRPr="006C06F2">
      <w:rPr>
        <w:i/>
        <w:iCs/>
        <w:sz w:val="22"/>
        <w:szCs w:val="22"/>
      </w:rPr>
      <w:t xml:space="preserve">Por la cual se complementan las resoluciones CREG 180 de 2014 y 015 de 2018 para tramitar las solicitudes </w:t>
    </w:r>
    <w:r w:rsidR="00582E5D">
      <w:rPr>
        <w:i/>
        <w:iCs/>
        <w:sz w:val="22"/>
        <w:szCs w:val="22"/>
      </w:rPr>
      <w:t xml:space="preserve">de cargos </w:t>
    </w:r>
    <w:r w:rsidRPr="006C06F2">
      <w:rPr>
        <w:i/>
        <w:iCs/>
        <w:sz w:val="22"/>
        <w:szCs w:val="22"/>
      </w:rPr>
      <w:t>de las empresas prestadoras del servicio</w:t>
    </w:r>
    <w:r w:rsidR="00463F14">
      <w:rPr>
        <w:i/>
        <w:iCs/>
        <w:sz w:val="22"/>
        <w:szCs w:val="22"/>
      </w:rPr>
      <w:t xml:space="preserve"> que atienden mercados</w:t>
    </w:r>
    <w:r w:rsidRPr="006C06F2">
      <w:rPr>
        <w:i/>
        <w:iCs/>
        <w:sz w:val="22"/>
        <w:szCs w:val="22"/>
      </w:rPr>
      <w:t xml:space="preserve"> en ZNI que se conectan al SIN, y se modifican unas disposiciones de la Resolución CREG 091 de 2007</w:t>
    </w:r>
    <w:bookmarkStart w:id="17" w:name="_Hlk124850243"/>
  </w:p>
  <w:bookmarkEnd w:id="17"/>
  <w:p w14:paraId="35167E0B" w14:textId="3AEE410A" w:rsidR="00B1673F" w:rsidRDefault="00B1673F" w:rsidP="00721ED5">
    <w:pPr>
      <w:spacing w:before="0" w:after="0"/>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2E89" w14:textId="77777777" w:rsidR="009C1EF5" w:rsidRDefault="009C1EF5" w:rsidP="000B7990">
    <w:pPr>
      <w:pStyle w:val="Encabezado"/>
      <w:jc w:val="center"/>
      <w:rPr>
        <w:rFonts w:ascii="Arial" w:hAnsi="Arial" w:cs="Arial"/>
        <w:spacing w:val="20"/>
        <w:sz w:val="20"/>
      </w:rPr>
    </w:pPr>
    <w:r>
      <w:rPr>
        <w:rFonts w:ascii="Arial" w:hAnsi="Arial" w:cs="Arial"/>
        <w:spacing w:val="20"/>
        <w:sz w:val="20"/>
      </w:rPr>
      <w:t>República de Colombia</w:t>
    </w:r>
  </w:p>
  <w:p w14:paraId="6ADC23F8" w14:textId="77777777" w:rsidR="009C1EF5" w:rsidRDefault="009C1EF5">
    <w:pPr>
      <w:pStyle w:val="Encabezado"/>
      <w:jc w:val="center"/>
      <w:rPr>
        <w:rFonts w:ascii="Arial" w:hAnsi="Arial" w:cs="Arial"/>
        <w:spacing w:val="20"/>
        <w:sz w:val="20"/>
      </w:rPr>
    </w:pPr>
  </w:p>
  <w:p w14:paraId="1A5CD802" w14:textId="77777777" w:rsidR="009C1EF5" w:rsidRDefault="009C1EF5"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A199B1E" wp14:editId="0360A44B">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8CF53" id="Rectangle 2" o:spid="_x0000_s1026" style="position:absolute;margin-left:-16.8pt;margin-top:20.9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4" w15:restartNumberingAfterBreak="0">
    <w:nsid w:val="22821C06"/>
    <w:multiLevelType w:val="multilevel"/>
    <w:tmpl w:val="3D205A5C"/>
    <w:lvl w:ilvl="0">
      <w:start w:val="1"/>
      <w:numFmt w:val="lowerLetter"/>
      <w:lvlText w:val="%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45E61DD"/>
    <w:multiLevelType w:val="hybridMultilevel"/>
    <w:tmpl w:val="6D444ABE"/>
    <w:lvl w:ilvl="0" w:tplc="AB08BC4E">
      <w:numFmt w:val="bullet"/>
      <w:lvlText w:val="-"/>
      <w:lvlJc w:val="left"/>
      <w:pPr>
        <w:ind w:left="720" w:hanging="360"/>
      </w:pPr>
      <w:rPr>
        <w:rFonts w:ascii="Bookman Old Style" w:eastAsia="Times New Roman" w:hAnsi="Bookman Old Style" w:cs="Times New Roman"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90969EE"/>
    <w:multiLevelType w:val="hybridMultilevel"/>
    <w:tmpl w:val="71B6C9A4"/>
    <w:lvl w:ilvl="0" w:tplc="5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8"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3DB2735"/>
    <w:multiLevelType w:val="hybridMultilevel"/>
    <w:tmpl w:val="C9A8C7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AAC0FD1"/>
    <w:multiLevelType w:val="multilevel"/>
    <w:tmpl w:val="8C68DDB8"/>
    <w:lvl w:ilvl="0">
      <w:start w:val="1"/>
      <w:numFmt w:val="decimal"/>
      <w:pStyle w:val="ARTICULOS"/>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2" w15:restartNumberingAfterBreak="0">
    <w:nsid w:val="4A485D93"/>
    <w:multiLevelType w:val="hybridMultilevel"/>
    <w:tmpl w:val="317270E2"/>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4DA91DD4"/>
    <w:multiLevelType w:val="hybridMultilevel"/>
    <w:tmpl w:val="A3047FB2"/>
    <w:lvl w:ilvl="0" w:tplc="580A0017">
      <w:start w:val="1"/>
      <w:numFmt w:val="lowerLetter"/>
      <w:lvlText w:val="%1)"/>
      <w:lvlJc w:val="left"/>
      <w:pPr>
        <w:ind w:left="2484" w:hanging="360"/>
      </w:pPr>
      <w:rPr>
        <w:rFonts w:hint="default"/>
      </w:rPr>
    </w:lvl>
    <w:lvl w:ilvl="1" w:tplc="FFFFFFFF" w:tentative="1">
      <w:start w:val="1"/>
      <w:numFmt w:val="lowerLetter"/>
      <w:lvlText w:val="%2."/>
      <w:lvlJc w:val="lef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14"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185345B"/>
    <w:multiLevelType w:val="hybridMultilevel"/>
    <w:tmpl w:val="3DEC01AA"/>
    <w:lvl w:ilvl="0" w:tplc="36E2F724">
      <w:start w:val="1"/>
      <w:numFmt w:val="upperRoman"/>
      <w:lvlText w:val="Capítulo %1."/>
      <w:lvlJc w:val="center"/>
      <w:pPr>
        <w:ind w:left="720" w:hanging="360"/>
      </w:pPr>
      <w:rPr>
        <w:rFonts w:hint="default"/>
      </w:rPr>
    </w:lvl>
    <w:lvl w:ilvl="1" w:tplc="3EACC65E">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8324395"/>
    <w:multiLevelType w:val="hybridMultilevel"/>
    <w:tmpl w:val="C0D40D80"/>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D78095A"/>
    <w:multiLevelType w:val="hybridMultilevel"/>
    <w:tmpl w:val="41EECA4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739D24A0"/>
    <w:multiLevelType w:val="hybridMultilevel"/>
    <w:tmpl w:val="8FE61266"/>
    <w:lvl w:ilvl="0" w:tplc="240A0019">
      <w:start w:val="1"/>
      <w:numFmt w:val="lowerLetter"/>
      <w:lvlText w:val="%1."/>
      <w:lvlJc w:val="left"/>
      <w:pPr>
        <w:ind w:left="2484" w:hanging="360"/>
      </w:pPr>
      <w:rPr>
        <w:rFonts w:hint="default"/>
      </w:rPr>
    </w:lvl>
    <w:lvl w:ilvl="1" w:tplc="240A0019" w:tentative="1">
      <w:start w:val="1"/>
      <w:numFmt w:val="lowerLetter"/>
      <w:lvlText w:val="%2."/>
      <w:lvlJc w:val="left"/>
      <w:pPr>
        <w:ind w:left="3204" w:hanging="360"/>
      </w:pPr>
    </w:lvl>
    <w:lvl w:ilvl="2" w:tplc="240A001B" w:tentative="1">
      <w:start w:val="1"/>
      <w:numFmt w:val="lowerRoman"/>
      <w:lvlText w:val="%3."/>
      <w:lvlJc w:val="right"/>
      <w:pPr>
        <w:ind w:left="3924" w:hanging="180"/>
      </w:pPr>
    </w:lvl>
    <w:lvl w:ilvl="3" w:tplc="240A000F" w:tentative="1">
      <w:start w:val="1"/>
      <w:numFmt w:val="decimal"/>
      <w:lvlText w:val="%4."/>
      <w:lvlJc w:val="left"/>
      <w:pPr>
        <w:ind w:left="4644" w:hanging="360"/>
      </w:pPr>
    </w:lvl>
    <w:lvl w:ilvl="4" w:tplc="240A0019" w:tentative="1">
      <w:start w:val="1"/>
      <w:numFmt w:val="lowerLetter"/>
      <w:lvlText w:val="%5."/>
      <w:lvlJc w:val="left"/>
      <w:pPr>
        <w:ind w:left="5364" w:hanging="360"/>
      </w:pPr>
    </w:lvl>
    <w:lvl w:ilvl="5" w:tplc="240A001B" w:tentative="1">
      <w:start w:val="1"/>
      <w:numFmt w:val="lowerRoman"/>
      <w:lvlText w:val="%6."/>
      <w:lvlJc w:val="right"/>
      <w:pPr>
        <w:ind w:left="6084" w:hanging="180"/>
      </w:pPr>
    </w:lvl>
    <w:lvl w:ilvl="6" w:tplc="240A000F" w:tentative="1">
      <w:start w:val="1"/>
      <w:numFmt w:val="decimal"/>
      <w:lvlText w:val="%7."/>
      <w:lvlJc w:val="left"/>
      <w:pPr>
        <w:ind w:left="6804" w:hanging="360"/>
      </w:pPr>
    </w:lvl>
    <w:lvl w:ilvl="7" w:tplc="240A0019" w:tentative="1">
      <w:start w:val="1"/>
      <w:numFmt w:val="lowerLetter"/>
      <w:lvlText w:val="%8."/>
      <w:lvlJc w:val="left"/>
      <w:pPr>
        <w:ind w:left="7524" w:hanging="360"/>
      </w:pPr>
    </w:lvl>
    <w:lvl w:ilvl="8" w:tplc="240A001B" w:tentative="1">
      <w:start w:val="1"/>
      <w:numFmt w:val="lowerRoman"/>
      <w:lvlText w:val="%9."/>
      <w:lvlJc w:val="right"/>
      <w:pPr>
        <w:ind w:left="8244" w:hanging="180"/>
      </w:pPr>
    </w:lvl>
  </w:abstractNum>
  <w:num w:numId="1" w16cid:durableId="970405547">
    <w:abstractNumId w:val="1"/>
  </w:num>
  <w:num w:numId="2" w16cid:durableId="929122188">
    <w:abstractNumId w:val="7"/>
  </w:num>
  <w:num w:numId="3" w16cid:durableId="239222292">
    <w:abstractNumId w:val="17"/>
  </w:num>
  <w:num w:numId="4" w16cid:durableId="1551065325">
    <w:abstractNumId w:val="14"/>
  </w:num>
  <w:num w:numId="5" w16cid:durableId="479998672">
    <w:abstractNumId w:val="20"/>
  </w:num>
  <w:num w:numId="6" w16cid:durableId="1329286577">
    <w:abstractNumId w:val="8"/>
  </w:num>
  <w:num w:numId="7" w16cid:durableId="1063871221">
    <w:abstractNumId w:val="10"/>
  </w:num>
  <w:num w:numId="8" w16cid:durableId="244269243">
    <w:abstractNumId w:val="18"/>
  </w:num>
  <w:num w:numId="9" w16cid:durableId="435247689">
    <w:abstractNumId w:val="15"/>
  </w:num>
  <w:num w:numId="10" w16cid:durableId="1791972093">
    <w:abstractNumId w:val="21"/>
  </w:num>
  <w:num w:numId="11" w16cid:durableId="9533382">
    <w:abstractNumId w:val="16"/>
  </w:num>
  <w:num w:numId="12" w16cid:durableId="973021416">
    <w:abstractNumId w:val="8"/>
  </w:num>
  <w:num w:numId="13" w16cid:durableId="31351694">
    <w:abstractNumId w:val="8"/>
  </w:num>
  <w:num w:numId="14" w16cid:durableId="552157136">
    <w:abstractNumId w:val="8"/>
  </w:num>
  <w:num w:numId="15" w16cid:durableId="1088890439">
    <w:abstractNumId w:val="4"/>
  </w:num>
  <w:num w:numId="16" w16cid:durableId="2145080834">
    <w:abstractNumId w:val="12"/>
  </w:num>
  <w:num w:numId="17" w16cid:durableId="2138402770">
    <w:abstractNumId w:val="14"/>
  </w:num>
  <w:num w:numId="18" w16cid:durableId="521481367">
    <w:abstractNumId w:val="5"/>
  </w:num>
  <w:num w:numId="19" w16cid:durableId="11298631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5048428">
    <w:abstractNumId w:val="2"/>
  </w:num>
  <w:num w:numId="21" w16cid:durableId="364909040">
    <w:abstractNumId w:val="13"/>
  </w:num>
  <w:num w:numId="22" w16cid:durableId="316883219">
    <w:abstractNumId w:val="6"/>
  </w:num>
  <w:num w:numId="23" w16cid:durableId="753210148">
    <w:abstractNumId w:val="14"/>
  </w:num>
  <w:num w:numId="24" w16cid:durableId="2091006092">
    <w:abstractNumId w:val="14"/>
  </w:num>
  <w:num w:numId="25" w16cid:durableId="322588155">
    <w:abstractNumId w:val="14"/>
  </w:num>
  <w:num w:numId="26" w16cid:durableId="230819350">
    <w:abstractNumId w:val="14"/>
  </w:num>
  <w:num w:numId="27" w16cid:durableId="2321601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9829045">
    <w:abstractNumId w:val="14"/>
  </w:num>
  <w:num w:numId="29" w16cid:durableId="210791672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2D"/>
    <w:rsid w:val="000002C5"/>
    <w:rsid w:val="00000590"/>
    <w:rsid w:val="00000954"/>
    <w:rsid w:val="00001025"/>
    <w:rsid w:val="00001036"/>
    <w:rsid w:val="000014A8"/>
    <w:rsid w:val="0000191D"/>
    <w:rsid w:val="00001B70"/>
    <w:rsid w:val="0000215F"/>
    <w:rsid w:val="00003049"/>
    <w:rsid w:val="00004906"/>
    <w:rsid w:val="00005326"/>
    <w:rsid w:val="000056FB"/>
    <w:rsid w:val="000063E4"/>
    <w:rsid w:val="00006585"/>
    <w:rsid w:val="000066A5"/>
    <w:rsid w:val="00006AE2"/>
    <w:rsid w:val="00006E7D"/>
    <w:rsid w:val="00006EF5"/>
    <w:rsid w:val="000076A1"/>
    <w:rsid w:val="00010C31"/>
    <w:rsid w:val="00011801"/>
    <w:rsid w:val="0001188A"/>
    <w:rsid w:val="0001209B"/>
    <w:rsid w:val="00012259"/>
    <w:rsid w:val="00012A61"/>
    <w:rsid w:val="00012D6A"/>
    <w:rsid w:val="000132EF"/>
    <w:rsid w:val="0001368F"/>
    <w:rsid w:val="0001542F"/>
    <w:rsid w:val="00015F4C"/>
    <w:rsid w:val="00016B85"/>
    <w:rsid w:val="00017104"/>
    <w:rsid w:val="00017396"/>
    <w:rsid w:val="000203BE"/>
    <w:rsid w:val="000203C6"/>
    <w:rsid w:val="00020902"/>
    <w:rsid w:val="00020B42"/>
    <w:rsid w:val="0002117B"/>
    <w:rsid w:val="00022832"/>
    <w:rsid w:val="00022843"/>
    <w:rsid w:val="00023275"/>
    <w:rsid w:val="00023841"/>
    <w:rsid w:val="00024EEB"/>
    <w:rsid w:val="00025383"/>
    <w:rsid w:val="00025D05"/>
    <w:rsid w:val="00026472"/>
    <w:rsid w:val="000268D6"/>
    <w:rsid w:val="00026956"/>
    <w:rsid w:val="0002750F"/>
    <w:rsid w:val="00027C0A"/>
    <w:rsid w:val="00027C0E"/>
    <w:rsid w:val="000307B3"/>
    <w:rsid w:val="00032C8E"/>
    <w:rsid w:val="0003358C"/>
    <w:rsid w:val="00033717"/>
    <w:rsid w:val="00034669"/>
    <w:rsid w:val="00034F65"/>
    <w:rsid w:val="0003547A"/>
    <w:rsid w:val="0003568E"/>
    <w:rsid w:val="000356FD"/>
    <w:rsid w:val="000359E0"/>
    <w:rsid w:val="0003695A"/>
    <w:rsid w:val="00037B0D"/>
    <w:rsid w:val="00040250"/>
    <w:rsid w:val="00042A98"/>
    <w:rsid w:val="00042AC3"/>
    <w:rsid w:val="000432E2"/>
    <w:rsid w:val="00043DDA"/>
    <w:rsid w:val="000446EC"/>
    <w:rsid w:val="00045094"/>
    <w:rsid w:val="000457D4"/>
    <w:rsid w:val="00045D3D"/>
    <w:rsid w:val="00050A4A"/>
    <w:rsid w:val="00050D9F"/>
    <w:rsid w:val="00051510"/>
    <w:rsid w:val="0005171B"/>
    <w:rsid w:val="0005191D"/>
    <w:rsid w:val="00051D1F"/>
    <w:rsid w:val="00053BE6"/>
    <w:rsid w:val="00055984"/>
    <w:rsid w:val="000561CA"/>
    <w:rsid w:val="00056ECE"/>
    <w:rsid w:val="0005705F"/>
    <w:rsid w:val="0005740C"/>
    <w:rsid w:val="00057D60"/>
    <w:rsid w:val="000612FB"/>
    <w:rsid w:val="00063454"/>
    <w:rsid w:val="00063657"/>
    <w:rsid w:val="000645D5"/>
    <w:rsid w:val="00064621"/>
    <w:rsid w:val="000658FE"/>
    <w:rsid w:val="00066C66"/>
    <w:rsid w:val="000674BA"/>
    <w:rsid w:val="000677B3"/>
    <w:rsid w:val="00067894"/>
    <w:rsid w:val="00070FFB"/>
    <w:rsid w:val="0007160D"/>
    <w:rsid w:val="000718BC"/>
    <w:rsid w:val="00071E46"/>
    <w:rsid w:val="000727D0"/>
    <w:rsid w:val="0007354C"/>
    <w:rsid w:val="0007409E"/>
    <w:rsid w:val="000750DD"/>
    <w:rsid w:val="0007640F"/>
    <w:rsid w:val="00076680"/>
    <w:rsid w:val="00076A1D"/>
    <w:rsid w:val="000771FB"/>
    <w:rsid w:val="000805D1"/>
    <w:rsid w:val="0008073E"/>
    <w:rsid w:val="00080A1F"/>
    <w:rsid w:val="0008115D"/>
    <w:rsid w:val="0008115F"/>
    <w:rsid w:val="000821D9"/>
    <w:rsid w:val="00082B34"/>
    <w:rsid w:val="00082FE9"/>
    <w:rsid w:val="000831AC"/>
    <w:rsid w:val="0008356F"/>
    <w:rsid w:val="000837A5"/>
    <w:rsid w:val="00083AA8"/>
    <w:rsid w:val="00084F74"/>
    <w:rsid w:val="000857D1"/>
    <w:rsid w:val="000858CD"/>
    <w:rsid w:val="0008751B"/>
    <w:rsid w:val="0008776A"/>
    <w:rsid w:val="000901A4"/>
    <w:rsid w:val="0009104E"/>
    <w:rsid w:val="0009196C"/>
    <w:rsid w:val="00091CDB"/>
    <w:rsid w:val="000920FF"/>
    <w:rsid w:val="000930F3"/>
    <w:rsid w:val="00093E37"/>
    <w:rsid w:val="00094176"/>
    <w:rsid w:val="000952BC"/>
    <w:rsid w:val="00095EA2"/>
    <w:rsid w:val="0009674F"/>
    <w:rsid w:val="00096F8F"/>
    <w:rsid w:val="000A11FA"/>
    <w:rsid w:val="000A1319"/>
    <w:rsid w:val="000A19AC"/>
    <w:rsid w:val="000A1ADD"/>
    <w:rsid w:val="000A38CC"/>
    <w:rsid w:val="000A4691"/>
    <w:rsid w:val="000A58E4"/>
    <w:rsid w:val="000A6EEC"/>
    <w:rsid w:val="000B266C"/>
    <w:rsid w:val="000B2EC9"/>
    <w:rsid w:val="000B3167"/>
    <w:rsid w:val="000B3688"/>
    <w:rsid w:val="000B4E72"/>
    <w:rsid w:val="000B5936"/>
    <w:rsid w:val="000B65BD"/>
    <w:rsid w:val="000B7319"/>
    <w:rsid w:val="000B77DE"/>
    <w:rsid w:val="000B7990"/>
    <w:rsid w:val="000C06AF"/>
    <w:rsid w:val="000C1951"/>
    <w:rsid w:val="000C1DE0"/>
    <w:rsid w:val="000C266A"/>
    <w:rsid w:val="000C44CD"/>
    <w:rsid w:val="000C549E"/>
    <w:rsid w:val="000C5565"/>
    <w:rsid w:val="000C5DF4"/>
    <w:rsid w:val="000C64D6"/>
    <w:rsid w:val="000C6881"/>
    <w:rsid w:val="000C743D"/>
    <w:rsid w:val="000C7488"/>
    <w:rsid w:val="000C784A"/>
    <w:rsid w:val="000C78FC"/>
    <w:rsid w:val="000D005D"/>
    <w:rsid w:val="000D08E3"/>
    <w:rsid w:val="000D1E36"/>
    <w:rsid w:val="000D26F8"/>
    <w:rsid w:val="000D28F2"/>
    <w:rsid w:val="000D2A00"/>
    <w:rsid w:val="000D31B3"/>
    <w:rsid w:val="000D35DA"/>
    <w:rsid w:val="000D360A"/>
    <w:rsid w:val="000D36AF"/>
    <w:rsid w:val="000D36D0"/>
    <w:rsid w:val="000D3884"/>
    <w:rsid w:val="000D3FC2"/>
    <w:rsid w:val="000D42B9"/>
    <w:rsid w:val="000D5201"/>
    <w:rsid w:val="000D5C79"/>
    <w:rsid w:val="000E0E1A"/>
    <w:rsid w:val="000E19B2"/>
    <w:rsid w:val="000E2A42"/>
    <w:rsid w:val="000E2BEB"/>
    <w:rsid w:val="000E30E6"/>
    <w:rsid w:val="000E3CB9"/>
    <w:rsid w:val="000E3D26"/>
    <w:rsid w:val="000E438C"/>
    <w:rsid w:val="000E6BBF"/>
    <w:rsid w:val="000E7036"/>
    <w:rsid w:val="000E7F3C"/>
    <w:rsid w:val="000F27EF"/>
    <w:rsid w:val="000F30B5"/>
    <w:rsid w:val="000F364C"/>
    <w:rsid w:val="000F3A75"/>
    <w:rsid w:val="000F4463"/>
    <w:rsid w:val="000F47C4"/>
    <w:rsid w:val="000F5392"/>
    <w:rsid w:val="000F54C0"/>
    <w:rsid w:val="000F563E"/>
    <w:rsid w:val="000F68AA"/>
    <w:rsid w:val="000F7AE9"/>
    <w:rsid w:val="000F7C81"/>
    <w:rsid w:val="0010087D"/>
    <w:rsid w:val="0010101F"/>
    <w:rsid w:val="00101A33"/>
    <w:rsid w:val="00101F35"/>
    <w:rsid w:val="001027C8"/>
    <w:rsid w:val="0010333D"/>
    <w:rsid w:val="00103E6A"/>
    <w:rsid w:val="00103FC5"/>
    <w:rsid w:val="001058B1"/>
    <w:rsid w:val="00105E02"/>
    <w:rsid w:val="0010658E"/>
    <w:rsid w:val="00106654"/>
    <w:rsid w:val="001067D3"/>
    <w:rsid w:val="00107206"/>
    <w:rsid w:val="001106AF"/>
    <w:rsid w:val="00110EB2"/>
    <w:rsid w:val="001115FD"/>
    <w:rsid w:val="00111B3C"/>
    <w:rsid w:val="001129C7"/>
    <w:rsid w:val="00112F16"/>
    <w:rsid w:val="001130AB"/>
    <w:rsid w:val="0011475D"/>
    <w:rsid w:val="001147FF"/>
    <w:rsid w:val="0011480B"/>
    <w:rsid w:val="0011491B"/>
    <w:rsid w:val="00114B6F"/>
    <w:rsid w:val="00115D15"/>
    <w:rsid w:val="00116C4D"/>
    <w:rsid w:val="001170CF"/>
    <w:rsid w:val="0011725D"/>
    <w:rsid w:val="001177E6"/>
    <w:rsid w:val="00120EEE"/>
    <w:rsid w:val="001214CB"/>
    <w:rsid w:val="001227A8"/>
    <w:rsid w:val="001233E6"/>
    <w:rsid w:val="00126B7F"/>
    <w:rsid w:val="00126CF7"/>
    <w:rsid w:val="0012783F"/>
    <w:rsid w:val="00127B96"/>
    <w:rsid w:val="00130D85"/>
    <w:rsid w:val="001311E8"/>
    <w:rsid w:val="001323D6"/>
    <w:rsid w:val="0013264B"/>
    <w:rsid w:val="00132666"/>
    <w:rsid w:val="00132FE3"/>
    <w:rsid w:val="001333FC"/>
    <w:rsid w:val="0013384D"/>
    <w:rsid w:val="00133EC9"/>
    <w:rsid w:val="001344C2"/>
    <w:rsid w:val="0013526C"/>
    <w:rsid w:val="0013539B"/>
    <w:rsid w:val="001359BC"/>
    <w:rsid w:val="00135AA9"/>
    <w:rsid w:val="00135C1F"/>
    <w:rsid w:val="00136F57"/>
    <w:rsid w:val="001378BC"/>
    <w:rsid w:val="001405C6"/>
    <w:rsid w:val="0014064C"/>
    <w:rsid w:val="00141013"/>
    <w:rsid w:val="00142021"/>
    <w:rsid w:val="0014208F"/>
    <w:rsid w:val="0014220A"/>
    <w:rsid w:val="0014256F"/>
    <w:rsid w:val="00142AE7"/>
    <w:rsid w:val="00142D53"/>
    <w:rsid w:val="0014363D"/>
    <w:rsid w:val="0014382F"/>
    <w:rsid w:val="00143BE1"/>
    <w:rsid w:val="00144681"/>
    <w:rsid w:val="00144EF3"/>
    <w:rsid w:val="00145736"/>
    <w:rsid w:val="001459D6"/>
    <w:rsid w:val="001478B5"/>
    <w:rsid w:val="0014799F"/>
    <w:rsid w:val="00151239"/>
    <w:rsid w:val="00151A0F"/>
    <w:rsid w:val="0015228B"/>
    <w:rsid w:val="00152D9A"/>
    <w:rsid w:val="00152E0C"/>
    <w:rsid w:val="001531F2"/>
    <w:rsid w:val="0015338C"/>
    <w:rsid w:val="001533B7"/>
    <w:rsid w:val="001541F3"/>
    <w:rsid w:val="00154D0C"/>
    <w:rsid w:val="00155261"/>
    <w:rsid w:val="001560A7"/>
    <w:rsid w:val="00157B49"/>
    <w:rsid w:val="001601DE"/>
    <w:rsid w:val="00160BCF"/>
    <w:rsid w:val="00161084"/>
    <w:rsid w:val="001628BD"/>
    <w:rsid w:val="001636C5"/>
    <w:rsid w:val="00164822"/>
    <w:rsid w:val="00164E00"/>
    <w:rsid w:val="00165336"/>
    <w:rsid w:val="00166193"/>
    <w:rsid w:val="001669A4"/>
    <w:rsid w:val="00166AA9"/>
    <w:rsid w:val="00166B53"/>
    <w:rsid w:val="001710F9"/>
    <w:rsid w:val="00171B59"/>
    <w:rsid w:val="00173041"/>
    <w:rsid w:val="001762DD"/>
    <w:rsid w:val="00176779"/>
    <w:rsid w:val="00177652"/>
    <w:rsid w:val="001778BC"/>
    <w:rsid w:val="00177A33"/>
    <w:rsid w:val="00177D48"/>
    <w:rsid w:val="00180A6E"/>
    <w:rsid w:val="0018241F"/>
    <w:rsid w:val="001827DF"/>
    <w:rsid w:val="001834A1"/>
    <w:rsid w:val="00184170"/>
    <w:rsid w:val="00185322"/>
    <w:rsid w:val="00185BB0"/>
    <w:rsid w:val="00185F79"/>
    <w:rsid w:val="001876F9"/>
    <w:rsid w:val="00190C2D"/>
    <w:rsid w:val="001912C0"/>
    <w:rsid w:val="00191CBD"/>
    <w:rsid w:val="00192CBF"/>
    <w:rsid w:val="00192FF1"/>
    <w:rsid w:val="0019373B"/>
    <w:rsid w:val="00194598"/>
    <w:rsid w:val="00194947"/>
    <w:rsid w:val="001949D2"/>
    <w:rsid w:val="00194C52"/>
    <w:rsid w:val="00194CF7"/>
    <w:rsid w:val="0019667F"/>
    <w:rsid w:val="00196D8C"/>
    <w:rsid w:val="00197F32"/>
    <w:rsid w:val="001A0298"/>
    <w:rsid w:val="001A0611"/>
    <w:rsid w:val="001A1422"/>
    <w:rsid w:val="001A2B6E"/>
    <w:rsid w:val="001A3643"/>
    <w:rsid w:val="001A3726"/>
    <w:rsid w:val="001A39D5"/>
    <w:rsid w:val="001A3C86"/>
    <w:rsid w:val="001A44FC"/>
    <w:rsid w:val="001A5F1B"/>
    <w:rsid w:val="001A6488"/>
    <w:rsid w:val="001A6E91"/>
    <w:rsid w:val="001A7613"/>
    <w:rsid w:val="001B03F7"/>
    <w:rsid w:val="001B05A4"/>
    <w:rsid w:val="001B1687"/>
    <w:rsid w:val="001B17F4"/>
    <w:rsid w:val="001B1C22"/>
    <w:rsid w:val="001B1F55"/>
    <w:rsid w:val="001B3456"/>
    <w:rsid w:val="001B34C6"/>
    <w:rsid w:val="001B430B"/>
    <w:rsid w:val="001B6055"/>
    <w:rsid w:val="001B608F"/>
    <w:rsid w:val="001B7FFE"/>
    <w:rsid w:val="001C0C42"/>
    <w:rsid w:val="001C2018"/>
    <w:rsid w:val="001C2826"/>
    <w:rsid w:val="001C36F4"/>
    <w:rsid w:val="001C3877"/>
    <w:rsid w:val="001C41D1"/>
    <w:rsid w:val="001C428B"/>
    <w:rsid w:val="001C4A3C"/>
    <w:rsid w:val="001C6856"/>
    <w:rsid w:val="001C73CD"/>
    <w:rsid w:val="001D0772"/>
    <w:rsid w:val="001D31E0"/>
    <w:rsid w:val="001D3333"/>
    <w:rsid w:val="001D3B73"/>
    <w:rsid w:val="001D3DE9"/>
    <w:rsid w:val="001D476F"/>
    <w:rsid w:val="001D4C99"/>
    <w:rsid w:val="001D4FD5"/>
    <w:rsid w:val="001D516B"/>
    <w:rsid w:val="001D74F5"/>
    <w:rsid w:val="001D7832"/>
    <w:rsid w:val="001E3599"/>
    <w:rsid w:val="001E3911"/>
    <w:rsid w:val="001E485E"/>
    <w:rsid w:val="001E5E9D"/>
    <w:rsid w:val="001E692F"/>
    <w:rsid w:val="001E6ED4"/>
    <w:rsid w:val="001F13C8"/>
    <w:rsid w:val="001F1D8B"/>
    <w:rsid w:val="001F2875"/>
    <w:rsid w:val="001F2C5B"/>
    <w:rsid w:val="001F2FD8"/>
    <w:rsid w:val="001F3551"/>
    <w:rsid w:val="001F4256"/>
    <w:rsid w:val="001F5AFE"/>
    <w:rsid w:val="001F780F"/>
    <w:rsid w:val="002012D8"/>
    <w:rsid w:val="002015A0"/>
    <w:rsid w:val="00201B74"/>
    <w:rsid w:val="002038CE"/>
    <w:rsid w:val="002039D6"/>
    <w:rsid w:val="0020488E"/>
    <w:rsid w:val="00204D82"/>
    <w:rsid w:val="0020533E"/>
    <w:rsid w:val="00205F99"/>
    <w:rsid w:val="0020628F"/>
    <w:rsid w:val="00206349"/>
    <w:rsid w:val="0020785D"/>
    <w:rsid w:val="00207D99"/>
    <w:rsid w:val="00210436"/>
    <w:rsid w:val="00210DC1"/>
    <w:rsid w:val="00211391"/>
    <w:rsid w:val="0021157A"/>
    <w:rsid w:val="00211D34"/>
    <w:rsid w:val="0021304E"/>
    <w:rsid w:val="002133FA"/>
    <w:rsid w:val="002140A8"/>
    <w:rsid w:val="00214231"/>
    <w:rsid w:val="00214328"/>
    <w:rsid w:val="00214F04"/>
    <w:rsid w:val="00217A4B"/>
    <w:rsid w:val="00217D47"/>
    <w:rsid w:val="002209A4"/>
    <w:rsid w:val="00221BED"/>
    <w:rsid w:val="00222934"/>
    <w:rsid w:val="00222C8F"/>
    <w:rsid w:val="00223E50"/>
    <w:rsid w:val="0022483E"/>
    <w:rsid w:val="0022498D"/>
    <w:rsid w:val="00224CDB"/>
    <w:rsid w:val="00224FC9"/>
    <w:rsid w:val="00226F74"/>
    <w:rsid w:val="00227061"/>
    <w:rsid w:val="00227A72"/>
    <w:rsid w:val="00227C8F"/>
    <w:rsid w:val="00227E1E"/>
    <w:rsid w:val="002306C2"/>
    <w:rsid w:val="002312F1"/>
    <w:rsid w:val="00231D67"/>
    <w:rsid w:val="00232342"/>
    <w:rsid w:val="0023329A"/>
    <w:rsid w:val="0023338E"/>
    <w:rsid w:val="00233EFF"/>
    <w:rsid w:val="00234300"/>
    <w:rsid w:val="00234A3E"/>
    <w:rsid w:val="002352B9"/>
    <w:rsid w:val="0023598E"/>
    <w:rsid w:val="0023621E"/>
    <w:rsid w:val="002367F5"/>
    <w:rsid w:val="00237EDC"/>
    <w:rsid w:val="00240640"/>
    <w:rsid w:val="00242A95"/>
    <w:rsid w:val="00242F2B"/>
    <w:rsid w:val="002436B9"/>
    <w:rsid w:val="00243A0A"/>
    <w:rsid w:val="00243DBF"/>
    <w:rsid w:val="002441CD"/>
    <w:rsid w:val="002444FF"/>
    <w:rsid w:val="00245E5D"/>
    <w:rsid w:val="00250A0F"/>
    <w:rsid w:val="0025187C"/>
    <w:rsid w:val="00253A20"/>
    <w:rsid w:val="0025525F"/>
    <w:rsid w:val="00255960"/>
    <w:rsid w:val="002560C5"/>
    <w:rsid w:val="00256D13"/>
    <w:rsid w:val="00256D30"/>
    <w:rsid w:val="00256DBC"/>
    <w:rsid w:val="00256EA4"/>
    <w:rsid w:val="002571C8"/>
    <w:rsid w:val="002578B3"/>
    <w:rsid w:val="002579DC"/>
    <w:rsid w:val="00257A41"/>
    <w:rsid w:val="00257C15"/>
    <w:rsid w:val="002603B0"/>
    <w:rsid w:val="00260906"/>
    <w:rsid w:val="00260C89"/>
    <w:rsid w:val="00261479"/>
    <w:rsid w:val="00261CF7"/>
    <w:rsid w:val="00262248"/>
    <w:rsid w:val="0026282C"/>
    <w:rsid w:val="002631B1"/>
    <w:rsid w:val="002634EE"/>
    <w:rsid w:val="00264F14"/>
    <w:rsid w:val="0026521A"/>
    <w:rsid w:val="002654BA"/>
    <w:rsid w:val="002657E2"/>
    <w:rsid w:val="00266CD6"/>
    <w:rsid w:val="002670F6"/>
    <w:rsid w:val="002673AC"/>
    <w:rsid w:val="002706BD"/>
    <w:rsid w:val="0027097E"/>
    <w:rsid w:val="00270C4A"/>
    <w:rsid w:val="00270F9F"/>
    <w:rsid w:val="00270FC1"/>
    <w:rsid w:val="0027278C"/>
    <w:rsid w:val="00273484"/>
    <w:rsid w:val="002739BD"/>
    <w:rsid w:val="00273F1F"/>
    <w:rsid w:val="00274C95"/>
    <w:rsid w:val="00275BBC"/>
    <w:rsid w:val="00275DAB"/>
    <w:rsid w:val="00275F7E"/>
    <w:rsid w:val="00276059"/>
    <w:rsid w:val="00276648"/>
    <w:rsid w:val="0027758F"/>
    <w:rsid w:val="00277C89"/>
    <w:rsid w:val="00280F65"/>
    <w:rsid w:val="00281485"/>
    <w:rsid w:val="00281C7F"/>
    <w:rsid w:val="002821BE"/>
    <w:rsid w:val="002836E2"/>
    <w:rsid w:val="00283A91"/>
    <w:rsid w:val="00285671"/>
    <w:rsid w:val="0028662C"/>
    <w:rsid w:val="0028750F"/>
    <w:rsid w:val="002903C0"/>
    <w:rsid w:val="002903D1"/>
    <w:rsid w:val="00290AF8"/>
    <w:rsid w:val="00290FF0"/>
    <w:rsid w:val="00291726"/>
    <w:rsid w:val="00291F1D"/>
    <w:rsid w:val="002920D9"/>
    <w:rsid w:val="002922A7"/>
    <w:rsid w:val="00292FE9"/>
    <w:rsid w:val="00293BC1"/>
    <w:rsid w:val="00295857"/>
    <w:rsid w:val="00295ACD"/>
    <w:rsid w:val="00295B04"/>
    <w:rsid w:val="00296434"/>
    <w:rsid w:val="0029698E"/>
    <w:rsid w:val="002A0468"/>
    <w:rsid w:val="002A0749"/>
    <w:rsid w:val="002A0828"/>
    <w:rsid w:val="002A128C"/>
    <w:rsid w:val="002A1D22"/>
    <w:rsid w:val="002A224B"/>
    <w:rsid w:val="002A2BD2"/>
    <w:rsid w:val="002A49E5"/>
    <w:rsid w:val="002A51EF"/>
    <w:rsid w:val="002A70E2"/>
    <w:rsid w:val="002A782A"/>
    <w:rsid w:val="002A7D62"/>
    <w:rsid w:val="002B0F02"/>
    <w:rsid w:val="002B11E2"/>
    <w:rsid w:val="002B16C8"/>
    <w:rsid w:val="002B1B4C"/>
    <w:rsid w:val="002B1E6E"/>
    <w:rsid w:val="002B24B8"/>
    <w:rsid w:val="002B48D0"/>
    <w:rsid w:val="002B5E3C"/>
    <w:rsid w:val="002B71B1"/>
    <w:rsid w:val="002B798E"/>
    <w:rsid w:val="002B7F26"/>
    <w:rsid w:val="002C01FA"/>
    <w:rsid w:val="002C06A7"/>
    <w:rsid w:val="002C0787"/>
    <w:rsid w:val="002C226C"/>
    <w:rsid w:val="002C23FF"/>
    <w:rsid w:val="002C2954"/>
    <w:rsid w:val="002C3488"/>
    <w:rsid w:val="002C35F1"/>
    <w:rsid w:val="002C3A78"/>
    <w:rsid w:val="002C4099"/>
    <w:rsid w:val="002C4C52"/>
    <w:rsid w:val="002C5023"/>
    <w:rsid w:val="002C5612"/>
    <w:rsid w:val="002C7252"/>
    <w:rsid w:val="002C7945"/>
    <w:rsid w:val="002D00D8"/>
    <w:rsid w:val="002D12D7"/>
    <w:rsid w:val="002D1BBA"/>
    <w:rsid w:val="002D1BFA"/>
    <w:rsid w:val="002D2882"/>
    <w:rsid w:val="002D30D3"/>
    <w:rsid w:val="002D3AE9"/>
    <w:rsid w:val="002D3BD5"/>
    <w:rsid w:val="002D3CE7"/>
    <w:rsid w:val="002D4510"/>
    <w:rsid w:val="002D64A3"/>
    <w:rsid w:val="002D69FD"/>
    <w:rsid w:val="002D765E"/>
    <w:rsid w:val="002D77FC"/>
    <w:rsid w:val="002D7D6C"/>
    <w:rsid w:val="002E09F5"/>
    <w:rsid w:val="002E1770"/>
    <w:rsid w:val="002E19C0"/>
    <w:rsid w:val="002E1AF2"/>
    <w:rsid w:val="002E1F65"/>
    <w:rsid w:val="002E2229"/>
    <w:rsid w:val="002E2655"/>
    <w:rsid w:val="002E2FA4"/>
    <w:rsid w:val="002E41B6"/>
    <w:rsid w:val="002E4581"/>
    <w:rsid w:val="002E59F2"/>
    <w:rsid w:val="002E5B9B"/>
    <w:rsid w:val="002E635C"/>
    <w:rsid w:val="002E782D"/>
    <w:rsid w:val="002E7997"/>
    <w:rsid w:val="002F026E"/>
    <w:rsid w:val="002F0734"/>
    <w:rsid w:val="002F10D1"/>
    <w:rsid w:val="002F13A0"/>
    <w:rsid w:val="002F22EB"/>
    <w:rsid w:val="002F35EB"/>
    <w:rsid w:val="002F3712"/>
    <w:rsid w:val="002F46E7"/>
    <w:rsid w:val="002F66E8"/>
    <w:rsid w:val="002F72DB"/>
    <w:rsid w:val="002F75C0"/>
    <w:rsid w:val="002F7B19"/>
    <w:rsid w:val="003008A1"/>
    <w:rsid w:val="00302CAC"/>
    <w:rsid w:val="00302EFB"/>
    <w:rsid w:val="0030336F"/>
    <w:rsid w:val="003040BE"/>
    <w:rsid w:val="003047F6"/>
    <w:rsid w:val="0030641B"/>
    <w:rsid w:val="003066B8"/>
    <w:rsid w:val="00306D06"/>
    <w:rsid w:val="00306F7F"/>
    <w:rsid w:val="00307A1C"/>
    <w:rsid w:val="00307E9C"/>
    <w:rsid w:val="00307F8B"/>
    <w:rsid w:val="00307F96"/>
    <w:rsid w:val="003101DA"/>
    <w:rsid w:val="003111C3"/>
    <w:rsid w:val="00311799"/>
    <w:rsid w:val="00312443"/>
    <w:rsid w:val="00312DDD"/>
    <w:rsid w:val="00313B84"/>
    <w:rsid w:val="00313D29"/>
    <w:rsid w:val="00314757"/>
    <w:rsid w:val="00315689"/>
    <w:rsid w:val="00315CBB"/>
    <w:rsid w:val="00315CD0"/>
    <w:rsid w:val="00315D1F"/>
    <w:rsid w:val="00316248"/>
    <w:rsid w:val="003163BC"/>
    <w:rsid w:val="003173C1"/>
    <w:rsid w:val="00317410"/>
    <w:rsid w:val="003211CE"/>
    <w:rsid w:val="0032190A"/>
    <w:rsid w:val="00321B6E"/>
    <w:rsid w:val="003220E6"/>
    <w:rsid w:val="003225E2"/>
    <w:rsid w:val="0032441B"/>
    <w:rsid w:val="00324E31"/>
    <w:rsid w:val="0032714E"/>
    <w:rsid w:val="00327412"/>
    <w:rsid w:val="00327443"/>
    <w:rsid w:val="003274DC"/>
    <w:rsid w:val="00330E17"/>
    <w:rsid w:val="00331BC2"/>
    <w:rsid w:val="00331C8C"/>
    <w:rsid w:val="0033221E"/>
    <w:rsid w:val="0033319F"/>
    <w:rsid w:val="00333DEE"/>
    <w:rsid w:val="003343C8"/>
    <w:rsid w:val="003343FE"/>
    <w:rsid w:val="003344C3"/>
    <w:rsid w:val="00334EF8"/>
    <w:rsid w:val="0033564E"/>
    <w:rsid w:val="00335EAC"/>
    <w:rsid w:val="00336112"/>
    <w:rsid w:val="00336317"/>
    <w:rsid w:val="0033715F"/>
    <w:rsid w:val="00337283"/>
    <w:rsid w:val="003373A2"/>
    <w:rsid w:val="00337C84"/>
    <w:rsid w:val="00341928"/>
    <w:rsid w:val="00342232"/>
    <w:rsid w:val="00342298"/>
    <w:rsid w:val="00342BEA"/>
    <w:rsid w:val="0034689D"/>
    <w:rsid w:val="003473A2"/>
    <w:rsid w:val="00347AE9"/>
    <w:rsid w:val="00347F79"/>
    <w:rsid w:val="003501F2"/>
    <w:rsid w:val="003509F9"/>
    <w:rsid w:val="00350A8C"/>
    <w:rsid w:val="00350DE4"/>
    <w:rsid w:val="00351E6B"/>
    <w:rsid w:val="00352C2F"/>
    <w:rsid w:val="00353CB2"/>
    <w:rsid w:val="00353F54"/>
    <w:rsid w:val="0035403A"/>
    <w:rsid w:val="003542A7"/>
    <w:rsid w:val="003555DF"/>
    <w:rsid w:val="003579FF"/>
    <w:rsid w:val="00360293"/>
    <w:rsid w:val="00360B50"/>
    <w:rsid w:val="00361BAC"/>
    <w:rsid w:val="00361EF5"/>
    <w:rsid w:val="00361F23"/>
    <w:rsid w:val="00362C45"/>
    <w:rsid w:val="0036394B"/>
    <w:rsid w:val="003639BB"/>
    <w:rsid w:val="00364BA9"/>
    <w:rsid w:val="003650A6"/>
    <w:rsid w:val="00366AC7"/>
    <w:rsid w:val="00366DB6"/>
    <w:rsid w:val="003671B0"/>
    <w:rsid w:val="0036724C"/>
    <w:rsid w:val="0036763F"/>
    <w:rsid w:val="0037005C"/>
    <w:rsid w:val="00370325"/>
    <w:rsid w:val="003706AD"/>
    <w:rsid w:val="003709B5"/>
    <w:rsid w:val="0037156B"/>
    <w:rsid w:val="00371D40"/>
    <w:rsid w:val="00372787"/>
    <w:rsid w:val="003727EF"/>
    <w:rsid w:val="003735E3"/>
    <w:rsid w:val="00373856"/>
    <w:rsid w:val="003742B8"/>
    <w:rsid w:val="00374381"/>
    <w:rsid w:val="00374855"/>
    <w:rsid w:val="00374DE1"/>
    <w:rsid w:val="0037563D"/>
    <w:rsid w:val="0037566A"/>
    <w:rsid w:val="003759C2"/>
    <w:rsid w:val="00375AAC"/>
    <w:rsid w:val="00375CA1"/>
    <w:rsid w:val="003769F0"/>
    <w:rsid w:val="00376A70"/>
    <w:rsid w:val="0037710B"/>
    <w:rsid w:val="00377FCD"/>
    <w:rsid w:val="003800A1"/>
    <w:rsid w:val="00380F32"/>
    <w:rsid w:val="00381AAD"/>
    <w:rsid w:val="00381F0A"/>
    <w:rsid w:val="00382EE8"/>
    <w:rsid w:val="00383AB4"/>
    <w:rsid w:val="00384161"/>
    <w:rsid w:val="00385A73"/>
    <w:rsid w:val="00385F37"/>
    <w:rsid w:val="003860EF"/>
    <w:rsid w:val="00386A9A"/>
    <w:rsid w:val="00387467"/>
    <w:rsid w:val="003876DC"/>
    <w:rsid w:val="00387C27"/>
    <w:rsid w:val="00390302"/>
    <w:rsid w:val="00390681"/>
    <w:rsid w:val="0039073E"/>
    <w:rsid w:val="0039127D"/>
    <w:rsid w:val="0039155D"/>
    <w:rsid w:val="0039172F"/>
    <w:rsid w:val="0039232F"/>
    <w:rsid w:val="003923CF"/>
    <w:rsid w:val="0039240B"/>
    <w:rsid w:val="00392A7C"/>
    <w:rsid w:val="0039330E"/>
    <w:rsid w:val="0039337E"/>
    <w:rsid w:val="003933DF"/>
    <w:rsid w:val="003935C5"/>
    <w:rsid w:val="00393F9F"/>
    <w:rsid w:val="0039489C"/>
    <w:rsid w:val="00395DA5"/>
    <w:rsid w:val="00396389"/>
    <w:rsid w:val="0039666B"/>
    <w:rsid w:val="00397365"/>
    <w:rsid w:val="00397DA6"/>
    <w:rsid w:val="003A0389"/>
    <w:rsid w:val="003A050C"/>
    <w:rsid w:val="003A09A2"/>
    <w:rsid w:val="003A0B61"/>
    <w:rsid w:val="003A1451"/>
    <w:rsid w:val="003A1A65"/>
    <w:rsid w:val="003A1F2C"/>
    <w:rsid w:val="003A1FAB"/>
    <w:rsid w:val="003A31F6"/>
    <w:rsid w:val="003A3A6C"/>
    <w:rsid w:val="003A3E98"/>
    <w:rsid w:val="003A4D67"/>
    <w:rsid w:val="003A6FE1"/>
    <w:rsid w:val="003A725B"/>
    <w:rsid w:val="003A749D"/>
    <w:rsid w:val="003B0371"/>
    <w:rsid w:val="003B0A7E"/>
    <w:rsid w:val="003B1627"/>
    <w:rsid w:val="003B1DFC"/>
    <w:rsid w:val="003B2C98"/>
    <w:rsid w:val="003B3EF0"/>
    <w:rsid w:val="003B4485"/>
    <w:rsid w:val="003B4F63"/>
    <w:rsid w:val="003B534A"/>
    <w:rsid w:val="003B63B0"/>
    <w:rsid w:val="003B75C7"/>
    <w:rsid w:val="003B79D4"/>
    <w:rsid w:val="003B7AE8"/>
    <w:rsid w:val="003C0474"/>
    <w:rsid w:val="003C09E2"/>
    <w:rsid w:val="003C156A"/>
    <w:rsid w:val="003C242C"/>
    <w:rsid w:val="003C3098"/>
    <w:rsid w:val="003C3447"/>
    <w:rsid w:val="003C4072"/>
    <w:rsid w:val="003C66E3"/>
    <w:rsid w:val="003C7822"/>
    <w:rsid w:val="003D0607"/>
    <w:rsid w:val="003D076C"/>
    <w:rsid w:val="003D0878"/>
    <w:rsid w:val="003D1367"/>
    <w:rsid w:val="003D160E"/>
    <w:rsid w:val="003D1FD8"/>
    <w:rsid w:val="003D23EE"/>
    <w:rsid w:val="003D2857"/>
    <w:rsid w:val="003D34F9"/>
    <w:rsid w:val="003D38E3"/>
    <w:rsid w:val="003D466B"/>
    <w:rsid w:val="003D6152"/>
    <w:rsid w:val="003D619A"/>
    <w:rsid w:val="003D6335"/>
    <w:rsid w:val="003D7021"/>
    <w:rsid w:val="003D7344"/>
    <w:rsid w:val="003E01CE"/>
    <w:rsid w:val="003E0745"/>
    <w:rsid w:val="003E090C"/>
    <w:rsid w:val="003E2664"/>
    <w:rsid w:val="003E308A"/>
    <w:rsid w:val="003E3442"/>
    <w:rsid w:val="003E345B"/>
    <w:rsid w:val="003E3CED"/>
    <w:rsid w:val="003E5626"/>
    <w:rsid w:val="003E58F8"/>
    <w:rsid w:val="003E6DDC"/>
    <w:rsid w:val="003E7112"/>
    <w:rsid w:val="003E7817"/>
    <w:rsid w:val="003E78B5"/>
    <w:rsid w:val="003F052F"/>
    <w:rsid w:val="003F0E29"/>
    <w:rsid w:val="003F1253"/>
    <w:rsid w:val="003F1295"/>
    <w:rsid w:val="003F1778"/>
    <w:rsid w:val="003F25E6"/>
    <w:rsid w:val="003F3905"/>
    <w:rsid w:val="003F54A4"/>
    <w:rsid w:val="003F558E"/>
    <w:rsid w:val="003F65FB"/>
    <w:rsid w:val="003F699A"/>
    <w:rsid w:val="003F70F2"/>
    <w:rsid w:val="003F77E3"/>
    <w:rsid w:val="003F7F77"/>
    <w:rsid w:val="00400A3D"/>
    <w:rsid w:val="004013AF"/>
    <w:rsid w:val="0040199C"/>
    <w:rsid w:val="0040235C"/>
    <w:rsid w:val="00402C03"/>
    <w:rsid w:val="00403C23"/>
    <w:rsid w:val="00404396"/>
    <w:rsid w:val="00404EE6"/>
    <w:rsid w:val="00405029"/>
    <w:rsid w:val="0040781C"/>
    <w:rsid w:val="004079CD"/>
    <w:rsid w:val="00407A25"/>
    <w:rsid w:val="00407C33"/>
    <w:rsid w:val="00410552"/>
    <w:rsid w:val="00412653"/>
    <w:rsid w:val="004135D1"/>
    <w:rsid w:val="00413688"/>
    <w:rsid w:val="00413E99"/>
    <w:rsid w:val="00414F1A"/>
    <w:rsid w:val="00415089"/>
    <w:rsid w:val="004151D9"/>
    <w:rsid w:val="00415255"/>
    <w:rsid w:val="00415902"/>
    <w:rsid w:val="0041597A"/>
    <w:rsid w:val="00415BAB"/>
    <w:rsid w:val="00415ED2"/>
    <w:rsid w:val="00416E9F"/>
    <w:rsid w:val="00417189"/>
    <w:rsid w:val="004179E1"/>
    <w:rsid w:val="00420205"/>
    <w:rsid w:val="0042068C"/>
    <w:rsid w:val="00421E96"/>
    <w:rsid w:val="00422FA1"/>
    <w:rsid w:val="00423679"/>
    <w:rsid w:val="004237FF"/>
    <w:rsid w:val="00424FE3"/>
    <w:rsid w:val="004255DF"/>
    <w:rsid w:val="00425A70"/>
    <w:rsid w:val="00425E93"/>
    <w:rsid w:val="00425F7D"/>
    <w:rsid w:val="00426900"/>
    <w:rsid w:val="004272FF"/>
    <w:rsid w:val="00431492"/>
    <w:rsid w:val="004315C7"/>
    <w:rsid w:val="004323B1"/>
    <w:rsid w:val="004325DC"/>
    <w:rsid w:val="00432822"/>
    <w:rsid w:val="00436EC8"/>
    <w:rsid w:val="0043706F"/>
    <w:rsid w:val="00437081"/>
    <w:rsid w:val="00437379"/>
    <w:rsid w:val="00437E9C"/>
    <w:rsid w:val="00440840"/>
    <w:rsid w:val="00440DC7"/>
    <w:rsid w:val="00441C8E"/>
    <w:rsid w:val="00441FD9"/>
    <w:rsid w:val="004429D9"/>
    <w:rsid w:val="00442B77"/>
    <w:rsid w:val="00442CCF"/>
    <w:rsid w:val="0044318E"/>
    <w:rsid w:val="00443B35"/>
    <w:rsid w:val="004440DB"/>
    <w:rsid w:val="00446813"/>
    <w:rsid w:val="00446BEE"/>
    <w:rsid w:val="00446C55"/>
    <w:rsid w:val="0045009B"/>
    <w:rsid w:val="004508F2"/>
    <w:rsid w:val="0045097B"/>
    <w:rsid w:val="00450A9D"/>
    <w:rsid w:val="00451303"/>
    <w:rsid w:val="0045178C"/>
    <w:rsid w:val="00452577"/>
    <w:rsid w:val="004526AC"/>
    <w:rsid w:val="00452885"/>
    <w:rsid w:val="0045293D"/>
    <w:rsid w:val="00453F26"/>
    <w:rsid w:val="0045463B"/>
    <w:rsid w:val="00454E24"/>
    <w:rsid w:val="00455734"/>
    <w:rsid w:val="00455DAE"/>
    <w:rsid w:val="00455E26"/>
    <w:rsid w:val="00456622"/>
    <w:rsid w:val="004575B9"/>
    <w:rsid w:val="00457D41"/>
    <w:rsid w:val="004602D4"/>
    <w:rsid w:val="00460F15"/>
    <w:rsid w:val="00460F4E"/>
    <w:rsid w:val="00461522"/>
    <w:rsid w:val="00461628"/>
    <w:rsid w:val="00461D9A"/>
    <w:rsid w:val="00463F14"/>
    <w:rsid w:val="00465187"/>
    <w:rsid w:val="0046524B"/>
    <w:rsid w:val="00466004"/>
    <w:rsid w:val="00466988"/>
    <w:rsid w:val="004679BF"/>
    <w:rsid w:val="0047092D"/>
    <w:rsid w:val="00471021"/>
    <w:rsid w:val="0047122B"/>
    <w:rsid w:val="00472125"/>
    <w:rsid w:val="00472720"/>
    <w:rsid w:val="00473B7A"/>
    <w:rsid w:val="00474922"/>
    <w:rsid w:val="00475647"/>
    <w:rsid w:val="004758EA"/>
    <w:rsid w:val="004771D9"/>
    <w:rsid w:val="004779B4"/>
    <w:rsid w:val="00477A77"/>
    <w:rsid w:val="0048185E"/>
    <w:rsid w:val="00481F5D"/>
    <w:rsid w:val="0048216C"/>
    <w:rsid w:val="004826E9"/>
    <w:rsid w:val="00482D44"/>
    <w:rsid w:val="0048350C"/>
    <w:rsid w:val="004836D4"/>
    <w:rsid w:val="00483D96"/>
    <w:rsid w:val="00483DF3"/>
    <w:rsid w:val="00485190"/>
    <w:rsid w:val="004854CA"/>
    <w:rsid w:val="0048571C"/>
    <w:rsid w:val="00485CA3"/>
    <w:rsid w:val="00487B4A"/>
    <w:rsid w:val="00487BB2"/>
    <w:rsid w:val="00490A0A"/>
    <w:rsid w:val="00490CC9"/>
    <w:rsid w:val="00492230"/>
    <w:rsid w:val="00492C4A"/>
    <w:rsid w:val="00493ADB"/>
    <w:rsid w:val="00494DDC"/>
    <w:rsid w:val="004957FD"/>
    <w:rsid w:val="0049589C"/>
    <w:rsid w:val="00495EFD"/>
    <w:rsid w:val="004960E9"/>
    <w:rsid w:val="004961C1"/>
    <w:rsid w:val="00497384"/>
    <w:rsid w:val="004974D8"/>
    <w:rsid w:val="00497693"/>
    <w:rsid w:val="00497DC9"/>
    <w:rsid w:val="00497E67"/>
    <w:rsid w:val="004A19E9"/>
    <w:rsid w:val="004A2795"/>
    <w:rsid w:val="004A2E88"/>
    <w:rsid w:val="004A35B4"/>
    <w:rsid w:val="004A4D29"/>
    <w:rsid w:val="004A5305"/>
    <w:rsid w:val="004A5B57"/>
    <w:rsid w:val="004A6144"/>
    <w:rsid w:val="004A6D92"/>
    <w:rsid w:val="004B0E0A"/>
    <w:rsid w:val="004B132B"/>
    <w:rsid w:val="004B13C6"/>
    <w:rsid w:val="004B1460"/>
    <w:rsid w:val="004B1740"/>
    <w:rsid w:val="004B1EC2"/>
    <w:rsid w:val="004B41C9"/>
    <w:rsid w:val="004B482D"/>
    <w:rsid w:val="004B5935"/>
    <w:rsid w:val="004B7016"/>
    <w:rsid w:val="004B71A5"/>
    <w:rsid w:val="004B7FAF"/>
    <w:rsid w:val="004C0257"/>
    <w:rsid w:val="004C028D"/>
    <w:rsid w:val="004C0564"/>
    <w:rsid w:val="004C05BC"/>
    <w:rsid w:val="004C0E93"/>
    <w:rsid w:val="004C4DC6"/>
    <w:rsid w:val="004C687E"/>
    <w:rsid w:val="004C7228"/>
    <w:rsid w:val="004C78BE"/>
    <w:rsid w:val="004D040D"/>
    <w:rsid w:val="004D182B"/>
    <w:rsid w:val="004D4089"/>
    <w:rsid w:val="004D432D"/>
    <w:rsid w:val="004D4B8C"/>
    <w:rsid w:val="004D5A3A"/>
    <w:rsid w:val="004D5C6B"/>
    <w:rsid w:val="004D6BC4"/>
    <w:rsid w:val="004D7178"/>
    <w:rsid w:val="004D724E"/>
    <w:rsid w:val="004D72B2"/>
    <w:rsid w:val="004D7634"/>
    <w:rsid w:val="004D76EE"/>
    <w:rsid w:val="004E0B17"/>
    <w:rsid w:val="004E1214"/>
    <w:rsid w:val="004E196A"/>
    <w:rsid w:val="004E1C30"/>
    <w:rsid w:val="004E1E2F"/>
    <w:rsid w:val="004E27AE"/>
    <w:rsid w:val="004E410F"/>
    <w:rsid w:val="004E4A05"/>
    <w:rsid w:val="004E526E"/>
    <w:rsid w:val="004E55D4"/>
    <w:rsid w:val="004E5D33"/>
    <w:rsid w:val="004E5EAA"/>
    <w:rsid w:val="004E611A"/>
    <w:rsid w:val="004E650C"/>
    <w:rsid w:val="004E65E4"/>
    <w:rsid w:val="004E7892"/>
    <w:rsid w:val="004E78FF"/>
    <w:rsid w:val="004E7CF3"/>
    <w:rsid w:val="004F0852"/>
    <w:rsid w:val="004F08FF"/>
    <w:rsid w:val="004F165C"/>
    <w:rsid w:val="004F177E"/>
    <w:rsid w:val="004F17CA"/>
    <w:rsid w:val="004F3D4E"/>
    <w:rsid w:val="004F3DF8"/>
    <w:rsid w:val="004F4F9B"/>
    <w:rsid w:val="004F5BC3"/>
    <w:rsid w:val="004F5F72"/>
    <w:rsid w:val="004F6360"/>
    <w:rsid w:val="004F6460"/>
    <w:rsid w:val="004F684A"/>
    <w:rsid w:val="004F737D"/>
    <w:rsid w:val="004F7CA0"/>
    <w:rsid w:val="005009DA"/>
    <w:rsid w:val="005010CF"/>
    <w:rsid w:val="0050396E"/>
    <w:rsid w:val="005044C6"/>
    <w:rsid w:val="005046DF"/>
    <w:rsid w:val="00505381"/>
    <w:rsid w:val="00505B76"/>
    <w:rsid w:val="00506AFF"/>
    <w:rsid w:val="00506E54"/>
    <w:rsid w:val="0050780D"/>
    <w:rsid w:val="00507CA9"/>
    <w:rsid w:val="00507D7B"/>
    <w:rsid w:val="00507DC6"/>
    <w:rsid w:val="00511171"/>
    <w:rsid w:val="00511F57"/>
    <w:rsid w:val="0051288E"/>
    <w:rsid w:val="00513056"/>
    <w:rsid w:val="005143DC"/>
    <w:rsid w:val="00514A2A"/>
    <w:rsid w:val="0051531E"/>
    <w:rsid w:val="00515D56"/>
    <w:rsid w:val="005162D9"/>
    <w:rsid w:val="0051635B"/>
    <w:rsid w:val="005168D9"/>
    <w:rsid w:val="00516B3B"/>
    <w:rsid w:val="00517400"/>
    <w:rsid w:val="00520010"/>
    <w:rsid w:val="005200A6"/>
    <w:rsid w:val="0052110A"/>
    <w:rsid w:val="00521271"/>
    <w:rsid w:val="0052144F"/>
    <w:rsid w:val="00523913"/>
    <w:rsid w:val="00523A96"/>
    <w:rsid w:val="00523B2E"/>
    <w:rsid w:val="00525389"/>
    <w:rsid w:val="00525583"/>
    <w:rsid w:val="00525697"/>
    <w:rsid w:val="00525AEE"/>
    <w:rsid w:val="00526330"/>
    <w:rsid w:val="00526A6A"/>
    <w:rsid w:val="00526C8C"/>
    <w:rsid w:val="0052720E"/>
    <w:rsid w:val="0052725A"/>
    <w:rsid w:val="00527E43"/>
    <w:rsid w:val="005300D3"/>
    <w:rsid w:val="0053057E"/>
    <w:rsid w:val="0053058C"/>
    <w:rsid w:val="00530AAE"/>
    <w:rsid w:val="00530EA2"/>
    <w:rsid w:val="00533E34"/>
    <w:rsid w:val="0053520D"/>
    <w:rsid w:val="00535ACA"/>
    <w:rsid w:val="00535F6F"/>
    <w:rsid w:val="005360DE"/>
    <w:rsid w:val="00536925"/>
    <w:rsid w:val="00540944"/>
    <w:rsid w:val="0054109E"/>
    <w:rsid w:val="00541E16"/>
    <w:rsid w:val="00542731"/>
    <w:rsid w:val="0054274C"/>
    <w:rsid w:val="00542A10"/>
    <w:rsid w:val="00543038"/>
    <w:rsid w:val="00543B0C"/>
    <w:rsid w:val="00544F82"/>
    <w:rsid w:val="00545DA9"/>
    <w:rsid w:val="005460E7"/>
    <w:rsid w:val="00546332"/>
    <w:rsid w:val="00546568"/>
    <w:rsid w:val="005466F0"/>
    <w:rsid w:val="00546CD5"/>
    <w:rsid w:val="005509D2"/>
    <w:rsid w:val="00551C12"/>
    <w:rsid w:val="00554C96"/>
    <w:rsid w:val="00555BA6"/>
    <w:rsid w:val="00555F0E"/>
    <w:rsid w:val="0055604C"/>
    <w:rsid w:val="00557262"/>
    <w:rsid w:val="005575E9"/>
    <w:rsid w:val="00557C8A"/>
    <w:rsid w:val="00560A68"/>
    <w:rsid w:val="00560FD2"/>
    <w:rsid w:val="00561823"/>
    <w:rsid w:val="0056183A"/>
    <w:rsid w:val="005620E8"/>
    <w:rsid w:val="005628C1"/>
    <w:rsid w:val="00562E83"/>
    <w:rsid w:val="00563602"/>
    <w:rsid w:val="00563E79"/>
    <w:rsid w:val="0056428B"/>
    <w:rsid w:val="00564B67"/>
    <w:rsid w:val="00564B8B"/>
    <w:rsid w:val="00564EDF"/>
    <w:rsid w:val="00565280"/>
    <w:rsid w:val="0056570C"/>
    <w:rsid w:val="00566685"/>
    <w:rsid w:val="005673AC"/>
    <w:rsid w:val="00567424"/>
    <w:rsid w:val="00570CC7"/>
    <w:rsid w:val="005711EC"/>
    <w:rsid w:val="005714A3"/>
    <w:rsid w:val="00571C46"/>
    <w:rsid w:val="00571CB4"/>
    <w:rsid w:val="00571D26"/>
    <w:rsid w:val="00572761"/>
    <w:rsid w:val="00573708"/>
    <w:rsid w:val="00574008"/>
    <w:rsid w:val="005750F5"/>
    <w:rsid w:val="00577ACF"/>
    <w:rsid w:val="00580822"/>
    <w:rsid w:val="00581850"/>
    <w:rsid w:val="00581E8A"/>
    <w:rsid w:val="00582012"/>
    <w:rsid w:val="005824F4"/>
    <w:rsid w:val="00582E5D"/>
    <w:rsid w:val="00583F55"/>
    <w:rsid w:val="005843A4"/>
    <w:rsid w:val="00585A2E"/>
    <w:rsid w:val="00585CF8"/>
    <w:rsid w:val="00585EDF"/>
    <w:rsid w:val="00585EEC"/>
    <w:rsid w:val="00586CF2"/>
    <w:rsid w:val="00587262"/>
    <w:rsid w:val="00587ECB"/>
    <w:rsid w:val="00590FA3"/>
    <w:rsid w:val="005912D1"/>
    <w:rsid w:val="0059145D"/>
    <w:rsid w:val="00593C4F"/>
    <w:rsid w:val="005943AA"/>
    <w:rsid w:val="005946A8"/>
    <w:rsid w:val="00595129"/>
    <w:rsid w:val="0059537B"/>
    <w:rsid w:val="0059586E"/>
    <w:rsid w:val="005A01FB"/>
    <w:rsid w:val="005A0394"/>
    <w:rsid w:val="005A0E0C"/>
    <w:rsid w:val="005A3446"/>
    <w:rsid w:val="005A35ED"/>
    <w:rsid w:val="005A3DF8"/>
    <w:rsid w:val="005A3E1C"/>
    <w:rsid w:val="005A4312"/>
    <w:rsid w:val="005A4407"/>
    <w:rsid w:val="005A442B"/>
    <w:rsid w:val="005A4B2D"/>
    <w:rsid w:val="005A59EF"/>
    <w:rsid w:val="005A5B8B"/>
    <w:rsid w:val="005A5E8E"/>
    <w:rsid w:val="005A648D"/>
    <w:rsid w:val="005A676C"/>
    <w:rsid w:val="005A6953"/>
    <w:rsid w:val="005A6DB9"/>
    <w:rsid w:val="005A7489"/>
    <w:rsid w:val="005A7F3C"/>
    <w:rsid w:val="005B00C3"/>
    <w:rsid w:val="005B067F"/>
    <w:rsid w:val="005B08DD"/>
    <w:rsid w:val="005B1C7E"/>
    <w:rsid w:val="005B2098"/>
    <w:rsid w:val="005B30DF"/>
    <w:rsid w:val="005B503C"/>
    <w:rsid w:val="005B5626"/>
    <w:rsid w:val="005B5E05"/>
    <w:rsid w:val="005B6324"/>
    <w:rsid w:val="005B6CB3"/>
    <w:rsid w:val="005B6D04"/>
    <w:rsid w:val="005B6E70"/>
    <w:rsid w:val="005B7A63"/>
    <w:rsid w:val="005C00E9"/>
    <w:rsid w:val="005C042D"/>
    <w:rsid w:val="005C0D13"/>
    <w:rsid w:val="005C14A4"/>
    <w:rsid w:val="005C1C0B"/>
    <w:rsid w:val="005C1C67"/>
    <w:rsid w:val="005C2146"/>
    <w:rsid w:val="005C27ED"/>
    <w:rsid w:val="005C3BAA"/>
    <w:rsid w:val="005C51B8"/>
    <w:rsid w:val="005C5A80"/>
    <w:rsid w:val="005C5ADA"/>
    <w:rsid w:val="005C6088"/>
    <w:rsid w:val="005C6976"/>
    <w:rsid w:val="005C7781"/>
    <w:rsid w:val="005C7824"/>
    <w:rsid w:val="005D0A73"/>
    <w:rsid w:val="005D1BEF"/>
    <w:rsid w:val="005D1C05"/>
    <w:rsid w:val="005D1DCD"/>
    <w:rsid w:val="005D1DE8"/>
    <w:rsid w:val="005D352F"/>
    <w:rsid w:val="005D533D"/>
    <w:rsid w:val="005D5BC6"/>
    <w:rsid w:val="005E0284"/>
    <w:rsid w:val="005E138A"/>
    <w:rsid w:val="005E2B7C"/>
    <w:rsid w:val="005E4914"/>
    <w:rsid w:val="005E52B3"/>
    <w:rsid w:val="005E5FDC"/>
    <w:rsid w:val="005F0C72"/>
    <w:rsid w:val="005F11D6"/>
    <w:rsid w:val="005F3416"/>
    <w:rsid w:val="005F39CA"/>
    <w:rsid w:val="005F46BC"/>
    <w:rsid w:val="005F4A28"/>
    <w:rsid w:val="005F4F2F"/>
    <w:rsid w:val="005F526D"/>
    <w:rsid w:val="005F6E74"/>
    <w:rsid w:val="005F6EA9"/>
    <w:rsid w:val="005F6F41"/>
    <w:rsid w:val="005F7013"/>
    <w:rsid w:val="005F7FE0"/>
    <w:rsid w:val="00601DDF"/>
    <w:rsid w:val="0060260C"/>
    <w:rsid w:val="00604A98"/>
    <w:rsid w:val="0060512D"/>
    <w:rsid w:val="006056FC"/>
    <w:rsid w:val="00605DA0"/>
    <w:rsid w:val="00605EF7"/>
    <w:rsid w:val="00606DC6"/>
    <w:rsid w:val="00606FEE"/>
    <w:rsid w:val="006075F9"/>
    <w:rsid w:val="00610748"/>
    <w:rsid w:val="00610A14"/>
    <w:rsid w:val="00610D90"/>
    <w:rsid w:val="0061112B"/>
    <w:rsid w:val="00611B5C"/>
    <w:rsid w:val="00611DAA"/>
    <w:rsid w:val="00614138"/>
    <w:rsid w:val="00614509"/>
    <w:rsid w:val="00614805"/>
    <w:rsid w:val="0061581B"/>
    <w:rsid w:val="00616160"/>
    <w:rsid w:val="006164E4"/>
    <w:rsid w:val="006166B9"/>
    <w:rsid w:val="00616B17"/>
    <w:rsid w:val="00616EF3"/>
    <w:rsid w:val="00617E6D"/>
    <w:rsid w:val="00620164"/>
    <w:rsid w:val="006203E4"/>
    <w:rsid w:val="00620FCF"/>
    <w:rsid w:val="006212C0"/>
    <w:rsid w:val="00621D84"/>
    <w:rsid w:val="00622B67"/>
    <w:rsid w:val="00623032"/>
    <w:rsid w:val="006236DF"/>
    <w:rsid w:val="0062491E"/>
    <w:rsid w:val="00625D9F"/>
    <w:rsid w:val="00625DC6"/>
    <w:rsid w:val="0062635A"/>
    <w:rsid w:val="006263B4"/>
    <w:rsid w:val="0062729D"/>
    <w:rsid w:val="00627335"/>
    <w:rsid w:val="00627966"/>
    <w:rsid w:val="00630BEE"/>
    <w:rsid w:val="006327E7"/>
    <w:rsid w:val="00632871"/>
    <w:rsid w:val="006342C3"/>
    <w:rsid w:val="006354B1"/>
    <w:rsid w:val="006359B2"/>
    <w:rsid w:val="00635B22"/>
    <w:rsid w:val="006367CF"/>
    <w:rsid w:val="00636835"/>
    <w:rsid w:val="006371C6"/>
    <w:rsid w:val="00637F1B"/>
    <w:rsid w:val="00641554"/>
    <w:rsid w:val="00642A54"/>
    <w:rsid w:val="0064343E"/>
    <w:rsid w:val="006438F9"/>
    <w:rsid w:val="0064391D"/>
    <w:rsid w:val="00644E86"/>
    <w:rsid w:val="00645BF9"/>
    <w:rsid w:val="00646366"/>
    <w:rsid w:val="00646756"/>
    <w:rsid w:val="00647048"/>
    <w:rsid w:val="00647EA5"/>
    <w:rsid w:val="006508AB"/>
    <w:rsid w:val="00650D7D"/>
    <w:rsid w:val="00651154"/>
    <w:rsid w:val="006516F4"/>
    <w:rsid w:val="00651821"/>
    <w:rsid w:val="00651A48"/>
    <w:rsid w:val="00651BBF"/>
    <w:rsid w:val="00651C8E"/>
    <w:rsid w:val="006528E5"/>
    <w:rsid w:val="00654384"/>
    <w:rsid w:val="00654E96"/>
    <w:rsid w:val="00656108"/>
    <w:rsid w:val="0066097F"/>
    <w:rsid w:val="006614EC"/>
    <w:rsid w:val="006622B2"/>
    <w:rsid w:val="00662551"/>
    <w:rsid w:val="00663D58"/>
    <w:rsid w:val="0066512C"/>
    <w:rsid w:val="00665786"/>
    <w:rsid w:val="00665868"/>
    <w:rsid w:val="00666177"/>
    <w:rsid w:val="00666A1D"/>
    <w:rsid w:val="006673D1"/>
    <w:rsid w:val="006675CD"/>
    <w:rsid w:val="00667AD5"/>
    <w:rsid w:val="00670053"/>
    <w:rsid w:val="00670229"/>
    <w:rsid w:val="006702EC"/>
    <w:rsid w:val="0067238D"/>
    <w:rsid w:val="006740B2"/>
    <w:rsid w:val="00674313"/>
    <w:rsid w:val="006747D5"/>
    <w:rsid w:val="006755EE"/>
    <w:rsid w:val="0067569D"/>
    <w:rsid w:val="00675985"/>
    <w:rsid w:val="006763C9"/>
    <w:rsid w:val="00676D1D"/>
    <w:rsid w:val="00677E6A"/>
    <w:rsid w:val="006801CC"/>
    <w:rsid w:val="00680BFA"/>
    <w:rsid w:val="00681539"/>
    <w:rsid w:val="00682342"/>
    <w:rsid w:val="00683EB3"/>
    <w:rsid w:val="00684157"/>
    <w:rsid w:val="00684D9B"/>
    <w:rsid w:val="0068510A"/>
    <w:rsid w:val="00685BCB"/>
    <w:rsid w:val="00690BF8"/>
    <w:rsid w:val="00690CEF"/>
    <w:rsid w:val="00690F31"/>
    <w:rsid w:val="006916E2"/>
    <w:rsid w:val="0069245B"/>
    <w:rsid w:val="0069249D"/>
    <w:rsid w:val="00694D99"/>
    <w:rsid w:val="00694E6C"/>
    <w:rsid w:val="00696249"/>
    <w:rsid w:val="00696679"/>
    <w:rsid w:val="00696F0D"/>
    <w:rsid w:val="00697363"/>
    <w:rsid w:val="00697556"/>
    <w:rsid w:val="006A0154"/>
    <w:rsid w:val="006A1CA8"/>
    <w:rsid w:val="006A1EB6"/>
    <w:rsid w:val="006A2AB1"/>
    <w:rsid w:val="006A2BF9"/>
    <w:rsid w:val="006A2EDF"/>
    <w:rsid w:val="006A3873"/>
    <w:rsid w:val="006A41D9"/>
    <w:rsid w:val="006A4B56"/>
    <w:rsid w:val="006A616B"/>
    <w:rsid w:val="006A72C7"/>
    <w:rsid w:val="006B0B87"/>
    <w:rsid w:val="006B10D7"/>
    <w:rsid w:val="006B184B"/>
    <w:rsid w:val="006B1FDF"/>
    <w:rsid w:val="006B4081"/>
    <w:rsid w:val="006B4647"/>
    <w:rsid w:val="006B4C2B"/>
    <w:rsid w:val="006B5DFE"/>
    <w:rsid w:val="006B6139"/>
    <w:rsid w:val="006B6194"/>
    <w:rsid w:val="006B661E"/>
    <w:rsid w:val="006B6AD5"/>
    <w:rsid w:val="006B6D47"/>
    <w:rsid w:val="006B7078"/>
    <w:rsid w:val="006B719A"/>
    <w:rsid w:val="006C0011"/>
    <w:rsid w:val="006C05B4"/>
    <w:rsid w:val="006C06F2"/>
    <w:rsid w:val="006C0769"/>
    <w:rsid w:val="006C1FD7"/>
    <w:rsid w:val="006C21F8"/>
    <w:rsid w:val="006C262B"/>
    <w:rsid w:val="006C3E16"/>
    <w:rsid w:val="006C40B0"/>
    <w:rsid w:val="006C4912"/>
    <w:rsid w:val="006C5AFE"/>
    <w:rsid w:val="006C7715"/>
    <w:rsid w:val="006C7AF6"/>
    <w:rsid w:val="006D0698"/>
    <w:rsid w:val="006D1517"/>
    <w:rsid w:val="006D1D6F"/>
    <w:rsid w:val="006D2747"/>
    <w:rsid w:val="006D2ADC"/>
    <w:rsid w:val="006D2BF0"/>
    <w:rsid w:val="006D30B1"/>
    <w:rsid w:val="006D3E7B"/>
    <w:rsid w:val="006D4948"/>
    <w:rsid w:val="006D4D77"/>
    <w:rsid w:val="006D5163"/>
    <w:rsid w:val="006D5E04"/>
    <w:rsid w:val="006D62D8"/>
    <w:rsid w:val="006E0123"/>
    <w:rsid w:val="006E0A54"/>
    <w:rsid w:val="006E155D"/>
    <w:rsid w:val="006E1736"/>
    <w:rsid w:val="006E1A39"/>
    <w:rsid w:val="006E1EEA"/>
    <w:rsid w:val="006E21D5"/>
    <w:rsid w:val="006E290C"/>
    <w:rsid w:val="006E292D"/>
    <w:rsid w:val="006E4298"/>
    <w:rsid w:val="006E44DA"/>
    <w:rsid w:val="006E4C15"/>
    <w:rsid w:val="006E4F1F"/>
    <w:rsid w:val="006E5FC3"/>
    <w:rsid w:val="006E72FE"/>
    <w:rsid w:val="006F09B9"/>
    <w:rsid w:val="006F268E"/>
    <w:rsid w:val="006F2EC8"/>
    <w:rsid w:val="006F33A3"/>
    <w:rsid w:val="006F3970"/>
    <w:rsid w:val="006F3BA3"/>
    <w:rsid w:val="006F4824"/>
    <w:rsid w:val="006F56D0"/>
    <w:rsid w:val="006F5E13"/>
    <w:rsid w:val="006F6B59"/>
    <w:rsid w:val="006F6B6B"/>
    <w:rsid w:val="006F6D95"/>
    <w:rsid w:val="006F7CFE"/>
    <w:rsid w:val="007019A4"/>
    <w:rsid w:val="00702937"/>
    <w:rsid w:val="00702B77"/>
    <w:rsid w:val="00702ECB"/>
    <w:rsid w:val="00703691"/>
    <w:rsid w:val="0070473A"/>
    <w:rsid w:val="00705F85"/>
    <w:rsid w:val="00706F13"/>
    <w:rsid w:val="00706F46"/>
    <w:rsid w:val="007072E8"/>
    <w:rsid w:val="0070761D"/>
    <w:rsid w:val="007076BC"/>
    <w:rsid w:val="007076FB"/>
    <w:rsid w:val="007103CF"/>
    <w:rsid w:val="00710FF1"/>
    <w:rsid w:val="00711D37"/>
    <w:rsid w:val="007126A4"/>
    <w:rsid w:val="007127EF"/>
    <w:rsid w:val="007134B4"/>
    <w:rsid w:val="00713FF2"/>
    <w:rsid w:val="00714A31"/>
    <w:rsid w:val="0071618D"/>
    <w:rsid w:val="00716DA6"/>
    <w:rsid w:val="00717C93"/>
    <w:rsid w:val="0072116F"/>
    <w:rsid w:val="00721534"/>
    <w:rsid w:val="00721A52"/>
    <w:rsid w:val="00721D5B"/>
    <w:rsid w:val="00721ED5"/>
    <w:rsid w:val="00722B3D"/>
    <w:rsid w:val="00723A41"/>
    <w:rsid w:val="00723CF0"/>
    <w:rsid w:val="00724205"/>
    <w:rsid w:val="0072463D"/>
    <w:rsid w:val="00724792"/>
    <w:rsid w:val="00724A10"/>
    <w:rsid w:val="00724C58"/>
    <w:rsid w:val="00725FA4"/>
    <w:rsid w:val="00726B6C"/>
    <w:rsid w:val="00727B2C"/>
    <w:rsid w:val="00730103"/>
    <w:rsid w:val="00730129"/>
    <w:rsid w:val="00730501"/>
    <w:rsid w:val="00730F10"/>
    <w:rsid w:val="00731511"/>
    <w:rsid w:val="00732E0B"/>
    <w:rsid w:val="00732FDC"/>
    <w:rsid w:val="007330DC"/>
    <w:rsid w:val="00733DD7"/>
    <w:rsid w:val="007340CC"/>
    <w:rsid w:val="00734187"/>
    <w:rsid w:val="00734C73"/>
    <w:rsid w:val="00734D48"/>
    <w:rsid w:val="00735DBB"/>
    <w:rsid w:val="007362D2"/>
    <w:rsid w:val="00736E7D"/>
    <w:rsid w:val="007377CA"/>
    <w:rsid w:val="00740446"/>
    <w:rsid w:val="00740C8E"/>
    <w:rsid w:val="007438A9"/>
    <w:rsid w:val="00743E7F"/>
    <w:rsid w:val="0074482F"/>
    <w:rsid w:val="0074491E"/>
    <w:rsid w:val="00745C85"/>
    <w:rsid w:val="007461C0"/>
    <w:rsid w:val="00746E56"/>
    <w:rsid w:val="007475E2"/>
    <w:rsid w:val="00750FC8"/>
    <w:rsid w:val="007511E4"/>
    <w:rsid w:val="00751EEB"/>
    <w:rsid w:val="0075222B"/>
    <w:rsid w:val="00753F4E"/>
    <w:rsid w:val="0075578E"/>
    <w:rsid w:val="00756FCB"/>
    <w:rsid w:val="007602F3"/>
    <w:rsid w:val="0076089C"/>
    <w:rsid w:val="00761244"/>
    <w:rsid w:val="0076163F"/>
    <w:rsid w:val="0076247A"/>
    <w:rsid w:val="00762A05"/>
    <w:rsid w:val="00762BF3"/>
    <w:rsid w:val="00762FB0"/>
    <w:rsid w:val="00763175"/>
    <w:rsid w:val="00763381"/>
    <w:rsid w:val="0076488C"/>
    <w:rsid w:val="00764CB3"/>
    <w:rsid w:val="0076701B"/>
    <w:rsid w:val="00767391"/>
    <w:rsid w:val="007705CD"/>
    <w:rsid w:val="00772F24"/>
    <w:rsid w:val="007739FA"/>
    <w:rsid w:val="00774ABE"/>
    <w:rsid w:val="007753AF"/>
    <w:rsid w:val="00775964"/>
    <w:rsid w:val="0077639F"/>
    <w:rsid w:val="007765FE"/>
    <w:rsid w:val="007766B3"/>
    <w:rsid w:val="00777163"/>
    <w:rsid w:val="00780A26"/>
    <w:rsid w:val="00781E1A"/>
    <w:rsid w:val="00781EBA"/>
    <w:rsid w:val="00782822"/>
    <w:rsid w:val="00782DB9"/>
    <w:rsid w:val="00784C67"/>
    <w:rsid w:val="00785664"/>
    <w:rsid w:val="00785678"/>
    <w:rsid w:val="007867C7"/>
    <w:rsid w:val="0078724E"/>
    <w:rsid w:val="00787E5A"/>
    <w:rsid w:val="0079025C"/>
    <w:rsid w:val="00790375"/>
    <w:rsid w:val="007910F2"/>
    <w:rsid w:val="00791C9F"/>
    <w:rsid w:val="007923A0"/>
    <w:rsid w:val="007928B7"/>
    <w:rsid w:val="00792DA5"/>
    <w:rsid w:val="00793207"/>
    <w:rsid w:val="00793C5D"/>
    <w:rsid w:val="00794E2E"/>
    <w:rsid w:val="00794E98"/>
    <w:rsid w:val="00795373"/>
    <w:rsid w:val="00795BFB"/>
    <w:rsid w:val="007969B5"/>
    <w:rsid w:val="007976C0"/>
    <w:rsid w:val="00797D92"/>
    <w:rsid w:val="00797DB9"/>
    <w:rsid w:val="007A00D0"/>
    <w:rsid w:val="007A060C"/>
    <w:rsid w:val="007A1D5E"/>
    <w:rsid w:val="007A2660"/>
    <w:rsid w:val="007A3ABD"/>
    <w:rsid w:val="007A5E57"/>
    <w:rsid w:val="007A6961"/>
    <w:rsid w:val="007A75EE"/>
    <w:rsid w:val="007B04CE"/>
    <w:rsid w:val="007B093F"/>
    <w:rsid w:val="007B0FAC"/>
    <w:rsid w:val="007B100F"/>
    <w:rsid w:val="007B1CF5"/>
    <w:rsid w:val="007B21B7"/>
    <w:rsid w:val="007B272E"/>
    <w:rsid w:val="007B2760"/>
    <w:rsid w:val="007B2802"/>
    <w:rsid w:val="007B2BBA"/>
    <w:rsid w:val="007B357B"/>
    <w:rsid w:val="007B4107"/>
    <w:rsid w:val="007B47C4"/>
    <w:rsid w:val="007B53E9"/>
    <w:rsid w:val="007B564B"/>
    <w:rsid w:val="007B5CF2"/>
    <w:rsid w:val="007B71EE"/>
    <w:rsid w:val="007B771B"/>
    <w:rsid w:val="007B77CE"/>
    <w:rsid w:val="007B7F5E"/>
    <w:rsid w:val="007C03EE"/>
    <w:rsid w:val="007C127E"/>
    <w:rsid w:val="007C1B10"/>
    <w:rsid w:val="007C1F1A"/>
    <w:rsid w:val="007C2169"/>
    <w:rsid w:val="007C2407"/>
    <w:rsid w:val="007C2A2B"/>
    <w:rsid w:val="007C49F9"/>
    <w:rsid w:val="007C54E8"/>
    <w:rsid w:val="007C585E"/>
    <w:rsid w:val="007C5ACC"/>
    <w:rsid w:val="007C5B24"/>
    <w:rsid w:val="007C5D53"/>
    <w:rsid w:val="007C6563"/>
    <w:rsid w:val="007C69F2"/>
    <w:rsid w:val="007C7102"/>
    <w:rsid w:val="007C79E3"/>
    <w:rsid w:val="007D21CD"/>
    <w:rsid w:val="007D2850"/>
    <w:rsid w:val="007D3313"/>
    <w:rsid w:val="007D420E"/>
    <w:rsid w:val="007D45EC"/>
    <w:rsid w:val="007D49D7"/>
    <w:rsid w:val="007D5836"/>
    <w:rsid w:val="007D69D2"/>
    <w:rsid w:val="007D6B92"/>
    <w:rsid w:val="007E0099"/>
    <w:rsid w:val="007E02C4"/>
    <w:rsid w:val="007E09A4"/>
    <w:rsid w:val="007E1112"/>
    <w:rsid w:val="007E2B27"/>
    <w:rsid w:val="007E3CF6"/>
    <w:rsid w:val="007E3D47"/>
    <w:rsid w:val="007E4A8C"/>
    <w:rsid w:val="007E4A8E"/>
    <w:rsid w:val="007E5792"/>
    <w:rsid w:val="007E5B81"/>
    <w:rsid w:val="007E66B1"/>
    <w:rsid w:val="007E6C4A"/>
    <w:rsid w:val="007E71A4"/>
    <w:rsid w:val="007E7A97"/>
    <w:rsid w:val="007F0253"/>
    <w:rsid w:val="007F1280"/>
    <w:rsid w:val="007F36A5"/>
    <w:rsid w:val="007F46C2"/>
    <w:rsid w:val="007F49ED"/>
    <w:rsid w:val="007F5750"/>
    <w:rsid w:val="007F6527"/>
    <w:rsid w:val="007F6C99"/>
    <w:rsid w:val="007F7C1B"/>
    <w:rsid w:val="00800D21"/>
    <w:rsid w:val="00801F33"/>
    <w:rsid w:val="00802255"/>
    <w:rsid w:val="00802CC9"/>
    <w:rsid w:val="00802DA5"/>
    <w:rsid w:val="00802E44"/>
    <w:rsid w:val="00803071"/>
    <w:rsid w:val="00803138"/>
    <w:rsid w:val="0080401E"/>
    <w:rsid w:val="008040FB"/>
    <w:rsid w:val="008043BB"/>
    <w:rsid w:val="00804D0D"/>
    <w:rsid w:val="00804D2E"/>
    <w:rsid w:val="008062AD"/>
    <w:rsid w:val="00806549"/>
    <w:rsid w:val="00806C01"/>
    <w:rsid w:val="00807D22"/>
    <w:rsid w:val="00810A76"/>
    <w:rsid w:val="00810A93"/>
    <w:rsid w:val="00810B35"/>
    <w:rsid w:val="00810C40"/>
    <w:rsid w:val="00811D3E"/>
    <w:rsid w:val="00812BAE"/>
    <w:rsid w:val="008133C6"/>
    <w:rsid w:val="0081468B"/>
    <w:rsid w:val="008148CC"/>
    <w:rsid w:val="00814D7E"/>
    <w:rsid w:val="008154AC"/>
    <w:rsid w:val="0081567A"/>
    <w:rsid w:val="008162D1"/>
    <w:rsid w:val="008167FC"/>
    <w:rsid w:val="008170E2"/>
    <w:rsid w:val="0081711A"/>
    <w:rsid w:val="00817731"/>
    <w:rsid w:val="00820263"/>
    <w:rsid w:val="00820CE9"/>
    <w:rsid w:val="008211A4"/>
    <w:rsid w:val="00821986"/>
    <w:rsid w:val="008222AC"/>
    <w:rsid w:val="00822961"/>
    <w:rsid w:val="0082311D"/>
    <w:rsid w:val="008237CA"/>
    <w:rsid w:val="00823C9E"/>
    <w:rsid w:val="008240DB"/>
    <w:rsid w:val="00824A74"/>
    <w:rsid w:val="00824F08"/>
    <w:rsid w:val="008251BC"/>
    <w:rsid w:val="00826E96"/>
    <w:rsid w:val="0082704C"/>
    <w:rsid w:val="008270D5"/>
    <w:rsid w:val="008276D9"/>
    <w:rsid w:val="00830951"/>
    <w:rsid w:val="00830FF0"/>
    <w:rsid w:val="0083140E"/>
    <w:rsid w:val="008318F6"/>
    <w:rsid w:val="00831A7D"/>
    <w:rsid w:val="00832533"/>
    <w:rsid w:val="00832D90"/>
    <w:rsid w:val="008330FF"/>
    <w:rsid w:val="00833979"/>
    <w:rsid w:val="00833D69"/>
    <w:rsid w:val="00833D76"/>
    <w:rsid w:val="00834580"/>
    <w:rsid w:val="00834EFB"/>
    <w:rsid w:val="0083508B"/>
    <w:rsid w:val="00837AD4"/>
    <w:rsid w:val="00840DFE"/>
    <w:rsid w:val="008413A4"/>
    <w:rsid w:val="00841D80"/>
    <w:rsid w:val="00842049"/>
    <w:rsid w:val="00842644"/>
    <w:rsid w:val="00842868"/>
    <w:rsid w:val="00842BD5"/>
    <w:rsid w:val="008434EE"/>
    <w:rsid w:val="00843DAD"/>
    <w:rsid w:val="008444C9"/>
    <w:rsid w:val="008454A2"/>
    <w:rsid w:val="00845BAD"/>
    <w:rsid w:val="0084693A"/>
    <w:rsid w:val="00847160"/>
    <w:rsid w:val="008471A8"/>
    <w:rsid w:val="0084728A"/>
    <w:rsid w:val="008511DC"/>
    <w:rsid w:val="00851CD1"/>
    <w:rsid w:val="0085236E"/>
    <w:rsid w:val="00854203"/>
    <w:rsid w:val="008548A5"/>
    <w:rsid w:val="0085629D"/>
    <w:rsid w:val="0085640E"/>
    <w:rsid w:val="008567D4"/>
    <w:rsid w:val="00857229"/>
    <w:rsid w:val="00861317"/>
    <w:rsid w:val="00861829"/>
    <w:rsid w:val="008625B3"/>
    <w:rsid w:val="00862E48"/>
    <w:rsid w:val="00863A37"/>
    <w:rsid w:val="00863AB8"/>
    <w:rsid w:val="00863E9D"/>
    <w:rsid w:val="00864C35"/>
    <w:rsid w:val="00864F48"/>
    <w:rsid w:val="00866DF9"/>
    <w:rsid w:val="0086711E"/>
    <w:rsid w:val="00870417"/>
    <w:rsid w:val="0087143B"/>
    <w:rsid w:val="008723DD"/>
    <w:rsid w:val="00873150"/>
    <w:rsid w:val="008732CE"/>
    <w:rsid w:val="00873745"/>
    <w:rsid w:val="00873FF9"/>
    <w:rsid w:val="00874329"/>
    <w:rsid w:val="00874613"/>
    <w:rsid w:val="00875B5E"/>
    <w:rsid w:val="00876557"/>
    <w:rsid w:val="0087657D"/>
    <w:rsid w:val="008771B8"/>
    <w:rsid w:val="0087775E"/>
    <w:rsid w:val="008800E4"/>
    <w:rsid w:val="00880585"/>
    <w:rsid w:val="008807D5"/>
    <w:rsid w:val="00880832"/>
    <w:rsid w:val="00881A25"/>
    <w:rsid w:val="00881A3D"/>
    <w:rsid w:val="008820F9"/>
    <w:rsid w:val="008822EA"/>
    <w:rsid w:val="0088369F"/>
    <w:rsid w:val="008836A4"/>
    <w:rsid w:val="0088389F"/>
    <w:rsid w:val="00884D80"/>
    <w:rsid w:val="00884DC5"/>
    <w:rsid w:val="00886D19"/>
    <w:rsid w:val="00886EE1"/>
    <w:rsid w:val="0088727D"/>
    <w:rsid w:val="0088786C"/>
    <w:rsid w:val="00887927"/>
    <w:rsid w:val="00887F31"/>
    <w:rsid w:val="008902C7"/>
    <w:rsid w:val="008916B7"/>
    <w:rsid w:val="008922AC"/>
    <w:rsid w:val="008923B5"/>
    <w:rsid w:val="00892F2C"/>
    <w:rsid w:val="0089340F"/>
    <w:rsid w:val="008944D2"/>
    <w:rsid w:val="00894B89"/>
    <w:rsid w:val="00895326"/>
    <w:rsid w:val="0089612C"/>
    <w:rsid w:val="00896F62"/>
    <w:rsid w:val="00897260"/>
    <w:rsid w:val="00897423"/>
    <w:rsid w:val="00897C27"/>
    <w:rsid w:val="00897C75"/>
    <w:rsid w:val="008A0E24"/>
    <w:rsid w:val="008A0F70"/>
    <w:rsid w:val="008A1221"/>
    <w:rsid w:val="008A1461"/>
    <w:rsid w:val="008A18DE"/>
    <w:rsid w:val="008A1EDB"/>
    <w:rsid w:val="008A2565"/>
    <w:rsid w:val="008A2974"/>
    <w:rsid w:val="008A3B48"/>
    <w:rsid w:val="008A4148"/>
    <w:rsid w:val="008A4BD9"/>
    <w:rsid w:val="008A6101"/>
    <w:rsid w:val="008A66C8"/>
    <w:rsid w:val="008A6BE9"/>
    <w:rsid w:val="008A7669"/>
    <w:rsid w:val="008A766D"/>
    <w:rsid w:val="008A7861"/>
    <w:rsid w:val="008B0C80"/>
    <w:rsid w:val="008B0C81"/>
    <w:rsid w:val="008B1869"/>
    <w:rsid w:val="008B1D1C"/>
    <w:rsid w:val="008B21A6"/>
    <w:rsid w:val="008B21D8"/>
    <w:rsid w:val="008B2294"/>
    <w:rsid w:val="008B2CEF"/>
    <w:rsid w:val="008B2EAF"/>
    <w:rsid w:val="008B3AEF"/>
    <w:rsid w:val="008B46EF"/>
    <w:rsid w:val="008B502D"/>
    <w:rsid w:val="008B61E5"/>
    <w:rsid w:val="008B6760"/>
    <w:rsid w:val="008B6CFD"/>
    <w:rsid w:val="008B7EEE"/>
    <w:rsid w:val="008C1097"/>
    <w:rsid w:val="008C1130"/>
    <w:rsid w:val="008C1655"/>
    <w:rsid w:val="008C1914"/>
    <w:rsid w:val="008C3591"/>
    <w:rsid w:val="008C419D"/>
    <w:rsid w:val="008C4758"/>
    <w:rsid w:val="008C54CC"/>
    <w:rsid w:val="008C6406"/>
    <w:rsid w:val="008C6841"/>
    <w:rsid w:val="008C6D97"/>
    <w:rsid w:val="008C7A64"/>
    <w:rsid w:val="008D0647"/>
    <w:rsid w:val="008D13D1"/>
    <w:rsid w:val="008D18E6"/>
    <w:rsid w:val="008D1DC5"/>
    <w:rsid w:val="008D2566"/>
    <w:rsid w:val="008D2C6D"/>
    <w:rsid w:val="008D3144"/>
    <w:rsid w:val="008D3B04"/>
    <w:rsid w:val="008D4760"/>
    <w:rsid w:val="008D6D03"/>
    <w:rsid w:val="008D792B"/>
    <w:rsid w:val="008D7A9B"/>
    <w:rsid w:val="008E0060"/>
    <w:rsid w:val="008E0926"/>
    <w:rsid w:val="008E0A28"/>
    <w:rsid w:val="008E0BF5"/>
    <w:rsid w:val="008E0F2A"/>
    <w:rsid w:val="008E0F36"/>
    <w:rsid w:val="008E121C"/>
    <w:rsid w:val="008E15A4"/>
    <w:rsid w:val="008E1642"/>
    <w:rsid w:val="008E1DBB"/>
    <w:rsid w:val="008E1E53"/>
    <w:rsid w:val="008E2397"/>
    <w:rsid w:val="008E2ECA"/>
    <w:rsid w:val="008E342C"/>
    <w:rsid w:val="008E40FE"/>
    <w:rsid w:val="008E4655"/>
    <w:rsid w:val="008E4F4C"/>
    <w:rsid w:val="008E57B9"/>
    <w:rsid w:val="008E6687"/>
    <w:rsid w:val="008E6D31"/>
    <w:rsid w:val="008E7091"/>
    <w:rsid w:val="008E7540"/>
    <w:rsid w:val="008E7692"/>
    <w:rsid w:val="008E76AC"/>
    <w:rsid w:val="008E76D4"/>
    <w:rsid w:val="008E7CCE"/>
    <w:rsid w:val="008F03AC"/>
    <w:rsid w:val="008F1019"/>
    <w:rsid w:val="008F1EB1"/>
    <w:rsid w:val="008F1FDC"/>
    <w:rsid w:val="008F21F6"/>
    <w:rsid w:val="008F28CB"/>
    <w:rsid w:val="008F2EB0"/>
    <w:rsid w:val="008F44D5"/>
    <w:rsid w:val="008F6381"/>
    <w:rsid w:val="008F6FA2"/>
    <w:rsid w:val="008F72E0"/>
    <w:rsid w:val="008F77A3"/>
    <w:rsid w:val="008F7990"/>
    <w:rsid w:val="008F7A00"/>
    <w:rsid w:val="00900138"/>
    <w:rsid w:val="00900680"/>
    <w:rsid w:val="00900719"/>
    <w:rsid w:val="00900D1A"/>
    <w:rsid w:val="00900D5E"/>
    <w:rsid w:val="00900E75"/>
    <w:rsid w:val="00900FBE"/>
    <w:rsid w:val="00901457"/>
    <w:rsid w:val="0090174D"/>
    <w:rsid w:val="00901DFC"/>
    <w:rsid w:val="00902F64"/>
    <w:rsid w:val="00903386"/>
    <w:rsid w:val="00903C66"/>
    <w:rsid w:val="00903EDC"/>
    <w:rsid w:val="009043F0"/>
    <w:rsid w:val="009049C5"/>
    <w:rsid w:val="00904A12"/>
    <w:rsid w:val="00906A2D"/>
    <w:rsid w:val="00906BAC"/>
    <w:rsid w:val="00906C61"/>
    <w:rsid w:val="009113F1"/>
    <w:rsid w:val="00911F4D"/>
    <w:rsid w:val="0091359D"/>
    <w:rsid w:val="00913841"/>
    <w:rsid w:val="00914F06"/>
    <w:rsid w:val="009159ED"/>
    <w:rsid w:val="009165C7"/>
    <w:rsid w:val="00916D6F"/>
    <w:rsid w:val="00917201"/>
    <w:rsid w:val="00917367"/>
    <w:rsid w:val="00917439"/>
    <w:rsid w:val="00920663"/>
    <w:rsid w:val="00921D03"/>
    <w:rsid w:val="00922533"/>
    <w:rsid w:val="00923B14"/>
    <w:rsid w:val="00925993"/>
    <w:rsid w:val="00925F08"/>
    <w:rsid w:val="00926475"/>
    <w:rsid w:val="0092686B"/>
    <w:rsid w:val="00927E22"/>
    <w:rsid w:val="00930543"/>
    <w:rsid w:val="00930B0D"/>
    <w:rsid w:val="00931ADD"/>
    <w:rsid w:val="00931BC6"/>
    <w:rsid w:val="00931E01"/>
    <w:rsid w:val="0093297A"/>
    <w:rsid w:val="00932B77"/>
    <w:rsid w:val="0093373C"/>
    <w:rsid w:val="00935218"/>
    <w:rsid w:val="00936488"/>
    <w:rsid w:val="009364F2"/>
    <w:rsid w:val="00937315"/>
    <w:rsid w:val="009378A7"/>
    <w:rsid w:val="00937992"/>
    <w:rsid w:val="0094054E"/>
    <w:rsid w:val="0094100A"/>
    <w:rsid w:val="009410AA"/>
    <w:rsid w:val="0094147E"/>
    <w:rsid w:val="00941EBB"/>
    <w:rsid w:val="00942327"/>
    <w:rsid w:val="009427D5"/>
    <w:rsid w:val="0094299F"/>
    <w:rsid w:val="00942E30"/>
    <w:rsid w:val="0094356E"/>
    <w:rsid w:val="00943BBE"/>
    <w:rsid w:val="00943CA7"/>
    <w:rsid w:val="00944E53"/>
    <w:rsid w:val="0094513B"/>
    <w:rsid w:val="00945BAB"/>
    <w:rsid w:val="00946187"/>
    <w:rsid w:val="009462BC"/>
    <w:rsid w:val="00946C53"/>
    <w:rsid w:val="00947B74"/>
    <w:rsid w:val="00950BFC"/>
    <w:rsid w:val="009515E9"/>
    <w:rsid w:val="0095183F"/>
    <w:rsid w:val="00951925"/>
    <w:rsid w:val="00951F79"/>
    <w:rsid w:val="009529A6"/>
    <w:rsid w:val="00954404"/>
    <w:rsid w:val="00954C36"/>
    <w:rsid w:val="00954D6F"/>
    <w:rsid w:val="00954EB1"/>
    <w:rsid w:val="00955F64"/>
    <w:rsid w:val="00956377"/>
    <w:rsid w:val="00957503"/>
    <w:rsid w:val="00960324"/>
    <w:rsid w:val="00960755"/>
    <w:rsid w:val="00961863"/>
    <w:rsid w:val="00961AD2"/>
    <w:rsid w:val="00961B44"/>
    <w:rsid w:val="00961EAC"/>
    <w:rsid w:val="009621ED"/>
    <w:rsid w:val="0096279C"/>
    <w:rsid w:val="009628CC"/>
    <w:rsid w:val="00962972"/>
    <w:rsid w:val="00962BDA"/>
    <w:rsid w:val="0096342A"/>
    <w:rsid w:val="009644F8"/>
    <w:rsid w:val="00964BE8"/>
    <w:rsid w:val="00967498"/>
    <w:rsid w:val="00967D25"/>
    <w:rsid w:val="00970276"/>
    <w:rsid w:val="009703FA"/>
    <w:rsid w:val="00971CC1"/>
    <w:rsid w:val="009733BB"/>
    <w:rsid w:val="00973404"/>
    <w:rsid w:val="00974136"/>
    <w:rsid w:val="00974219"/>
    <w:rsid w:val="0097499D"/>
    <w:rsid w:val="00974AB5"/>
    <w:rsid w:val="00975491"/>
    <w:rsid w:val="00975624"/>
    <w:rsid w:val="00975E92"/>
    <w:rsid w:val="00976EC7"/>
    <w:rsid w:val="00976FD7"/>
    <w:rsid w:val="009819A9"/>
    <w:rsid w:val="009820D7"/>
    <w:rsid w:val="00982701"/>
    <w:rsid w:val="0098286E"/>
    <w:rsid w:val="00982945"/>
    <w:rsid w:val="00982A7B"/>
    <w:rsid w:val="00982BC8"/>
    <w:rsid w:val="00982FE1"/>
    <w:rsid w:val="00983BA3"/>
    <w:rsid w:val="009843A8"/>
    <w:rsid w:val="009844C9"/>
    <w:rsid w:val="00984DC5"/>
    <w:rsid w:val="009851BF"/>
    <w:rsid w:val="009851CD"/>
    <w:rsid w:val="00986A5E"/>
    <w:rsid w:val="0098706D"/>
    <w:rsid w:val="009873CC"/>
    <w:rsid w:val="0098764A"/>
    <w:rsid w:val="00987A14"/>
    <w:rsid w:val="00987BDD"/>
    <w:rsid w:val="0099054D"/>
    <w:rsid w:val="00990A43"/>
    <w:rsid w:val="00991B54"/>
    <w:rsid w:val="0099307C"/>
    <w:rsid w:val="009935FB"/>
    <w:rsid w:val="00994BB7"/>
    <w:rsid w:val="009959D1"/>
    <w:rsid w:val="009961D4"/>
    <w:rsid w:val="00996E66"/>
    <w:rsid w:val="00996F88"/>
    <w:rsid w:val="009971F5"/>
    <w:rsid w:val="00997985"/>
    <w:rsid w:val="00997E69"/>
    <w:rsid w:val="009A0187"/>
    <w:rsid w:val="009A0748"/>
    <w:rsid w:val="009A0A35"/>
    <w:rsid w:val="009A0EBD"/>
    <w:rsid w:val="009A1954"/>
    <w:rsid w:val="009A1AEB"/>
    <w:rsid w:val="009A1DBD"/>
    <w:rsid w:val="009A233C"/>
    <w:rsid w:val="009A235E"/>
    <w:rsid w:val="009A3863"/>
    <w:rsid w:val="009A3B00"/>
    <w:rsid w:val="009A3DAA"/>
    <w:rsid w:val="009A4CBF"/>
    <w:rsid w:val="009A4D1C"/>
    <w:rsid w:val="009A4F41"/>
    <w:rsid w:val="009A5C04"/>
    <w:rsid w:val="009A6ACB"/>
    <w:rsid w:val="009B079A"/>
    <w:rsid w:val="009B09E3"/>
    <w:rsid w:val="009B1328"/>
    <w:rsid w:val="009B1B6E"/>
    <w:rsid w:val="009B1C54"/>
    <w:rsid w:val="009B303D"/>
    <w:rsid w:val="009B3238"/>
    <w:rsid w:val="009B364B"/>
    <w:rsid w:val="009B36A7"/>
    <w:rsid w:val="009B45B2"/>
    <w:rsid w:val="009B4F8D"/>
    <w:rsid w:val="009B509F"/>
    <w:rsid w:val="009B56D5"/>
    <w:rsid w:val="009B5752"/>
    <w:rsid w:val="009B57F5"/>
    <w:rsid w:val="009B6636"/>
    <w:rsid w:val="009B7D6C"/>
    <w:rsid w:val="009C15AD"/>
    <w:rsid w:val="009C167B"/>
    <w:rsid w:val="009C17D3"/>
    <w:rsid w:val="009C1933"/>
    <w:rsid w:val="009C1EF5"/>
    <w:rsid w:val="009C2AF0"/>
    <w:rsid w:val="009C2E90"/>
    <w:rsid w:val="009C3DB8"/>
    <w:rsid w:val="009C4055"/>
    <w:rsid w:val="009C422B"/>
    <w:rsid w:val="009C4259"/>
    <w:rsid w:val="009C5BC8"/>
    <w:rsid w:val="009C632F"/>
    <w:rsid w:val="009C6CF7"/>
    <w:rsid w:val="009C6FF8"/>
    <w:rsid w:val="009C71DA"/>
    <w:rsid w:val="009C73A9"/>
    <w:rsid w:val="009C7500"/>
    <w:rsid w:val="009C7987"/>
    <w:rsid w:val="009C7F29"/>
    <w:rsid w:val="009D191F"/>
    <w:rsid w:val="009D2443"/>
    <w:rsid w:val="009D2A09"/>
    <w:rsid w:val="009D2B19"/>
    <w:rsid w:val="009D36F8"/>
    <w:rsid w:val="009D418B"/>
    <w:rsid w:val="009D4626"/>
    <w:rsid w:val="009D5565"/>
    <w:rsid w:val="009D6693"/>
    <w:rsid w:val="009D75F9"/>
    <w:rsid w:val="009E06C2"/>
    <w:rsid w:val="009E0FAA"/>
    <w:rsid w:val="009E1014"/>
    <w:rsid w:val="009E108E"/>
    <w:rsid w:val="009E1320"/>
    <w:rsid w:val="009E1EB8"/>
    <w:rsid w:val="009E2452"/>
    <w:rsid w:val="009E3023"/>
    <w:rsid w:val="009E3287"/>
    <w:rsid w:val="009E3D1C"/>
    <w:rsid w:val="009E4A51"/>
    <w:rsid w:val="009E5113"/>
    <w:rsid w:val="009E5199"/>
    <w:rsid w:val="009E5521"/>
    <w:rsid w:val="009E5968"/>
    <w:rsid w:val="009E5B91"/>
    <w:rsid w:val="009E5BC5"/>
    <w:rsid w:val="009E6A93"/>
    <w:rsid w:val="009E6C3E"/>
    <w:rsid w:val="009E6CDB"/>
    <w:rsid w:val="009E7710"/>
    <w:rsid w:val="009E7922"/>
    <w:rsid w:val="009F0489"/>
    <w:rsid w:val="009F087D"/>
    <w:rsid w:val="009F0CEE"/>
    <w:rsid w:val="009F15BD"/>
    <w:rsid w:val="009F252B"/>
    <w:rsid w:val="009F2FC2"/>
    <w:rsid w:val="009F3468"/>
    <w:rsid w:val="009F3EE5"/>
    <w:rsid w:val="009F4020"/>
    <w:rsid w:val="009F440F"/>
    <w:rsid w:val="009F457C"/>
    <w:rsid w:val="009F4749"/>
    <w:rsid w:val="009F47F4"/>
    <w:rsid w:val="009F4A54"/>
    <w:rsid w:val="009F4ADA"/>
    <w:rsid w:val="009F4BEC"/>
    <w:rsid w:val="009F4F37"/>
    <w:rsid w:val="009F553B"/>
    <w:rsid w:val="009F578D"/>
    <w:rsid w:val="009F5874"/>
    <w:rsid w:val="009F587D"/>
    <w:rsid w:val="009F59FE"/>
    <w:rsid w:val="009F7EFF"/>
    <w:rsid w:val="009F7F6A"/>
    <w:rsid w:val="009F7FBB"/>
    <w:rsid w:val="00A01B8C"/>
    <w:rsid w:val="00A01C0E"/>
    <w:rsid w:val="00A01D29"/>
    <w:rsid w:val="00A01E16"/>
    <w:rsid w:val="00A039FD"/>
    <w:rsid w:val="00A04413"/>
    <w:rsid w:val="00A045AB"/>
    <w:rsid w:val="00A04A5A"/>
    <w:rsid w:val="00A04D18"/>
    <w:rsid w:val="00A0515F"/>
    <w:rsid w:val="00A056A9"/>
    <w:rsid w:val="00A061FC"/>
    <w:rsid w:val="00A06735"/>
    <w:rsid w:val="00A06C25"/>
    <w:rsid w:val="00A0708C"/>
    <w:rsid w:val="00A07643"/>
    <w:rsid w:val="00A1023C"/>
    <w:rsid w:val="00A10393"/>
    <w:rsid w:val="00A107E5"/>
    <w:rsid w:val="00A10857"/>
    <w:rsid w:val="00A11576"/>
    <w:rsid w:val="00A117E8"/>
    <w:rsid w:val="00A11989"/>
    <w:rsid w:val="00A11C1F"/>
    <w:rsid w:val="00A12211"/>
    <w:rsid w:val="00A122C5"/>
    <w:rsid w:val="00A12B9F"/>
    <w:rsid w:val="00A137D4"/>
    <w:rsid w:val="00A144D4"/>
    <w:rsid w:val="00A17427"/>
    <w:rsid w:val="00A17594"/>
    <w:rsid w:val="00A1772B"/>
    <w:rsid w:val="00A20FD8"/>
    <w:rsid w:val="00A21158"/>
    <w:rsid w:val="00A2210D"/>
    <w:rsid w:val="00A2261B"/>
    <w:rsid w:val="00A23DA6"/>
    <w:rsid w:val="00A240CB"/>
    <w:rsid w:val="00A242DE"/>
    <w:rsid w:val="00A24458"/>
    <w:rsid w:val="00A2447C"/>
    <w:rsid w:val="00A24CB4"/>
    <w:rsid w:val="00A25FD7"/>
    <w:rsid w:val="00A2616D"/>
    <w:rsid w:val="00A2678D"/>
    <w:rsid w:val="00A26DEA"/>
    <w:rsid w:val="00A27359"/>
    <w:rsid w:val="00A307F8"/>
    <w:rsid w:val="00A3093C"/>
    <w:rsid w:val="00A31582"/>
    <w:rsid w:val="00A33B34"/>
    <w:rsid w:val="00A34ABE"/>
    <w:rsid w:val="00A35D15"/>
    <w:rsid w:val="00A366F9"/>
    <w:rsid w:val="00A37726"/>
    <w:rsid w:val="00A3773C"/>
    <w:rsid w:val="00A40669"/>
    <w:rsid w:val="00A40880"/>
    <w:rsid w:val="00A423F5"/>
    <w:rsid w:val="00A43041"/>
    <w:rsid w:val="00A4362D"/>
    <w:rsid w:val="00A43739"/>
    <w:rsid w:val="00A43AFF"/>
    <w:rsid w:val="00A454E3"/>
    <w:rsid w:val="00A45CF7"/>
    <w:rsid w:val="00A4612D"/>
    <w:rsid w:val="00A46303"/>
    <w:rsid w:val="00A46446"/>
    <w:rsid w:val="00A473EE"/>
    <w:rsid w:val="00A508A4"/>
    <w:rsid w:val="00A50F78"/>
    <w:rsid w:val="00A50FF1"/>
    <w:rsid w:val="00A51DA4"/>
    <w:rsid w:val="00A5212A"/>
    <w:rsid w:val="00A52D39"/>
    <w:rsid w:val="00A532D3"/>
    <w:rsid w:val="00A537A1"/>
    <w:rsid w:val="00A5438F"/>
    <w:rsid w:val="00A55865"/>
    <w:rsid w:val="00A564A5"/>
    <w:rsid w:val="00A57697"/>
    <w:rsid w:val="00A60226"/>
    <w:rsid w:val="00A60C76"/>
    <w:rsid w:val="00A60F91"/>
    <w:rsid w:val="00A619C0"/>
    <w:rsid w:val="00A6294F"/>
    <w:rsid w:val="00A62CF6"/>
    <w:rsid w:val="00A635C8"/>
    <w:rsid w:val="00A6411B"/>
    <w:rsid w:val="00A643E7"/>
    <w:rsid w:val="00A645DF"/>
    <w:rsid w:val="00A6492A"/>
    <w:rsid w:val="00A6571F"/>
    <w:rsid w:val="00A65DAD"/>
    <w:rsid w:val="00A66313"/>
    <w:rsid w:val="00A706B8"/>
    <w:rsid w:val="00A7220F"/>
    <w:rsid w:val="00A731C3"/>
    <w:rsid w:val="00A74502"/>
    <w:rsid w:val="00A74AD1"/>
    <w:rsid w:val="00A76498"/>
    <w:rsid w:val="00A7793A"/>
    <w:rsid w:val="00A80C05"/>
    <w:rsid w:val="00A80C7B"/>
    <w:rsid w:val="00A82091"/>
    <w:rsid w:val="00A827B5"/>
    <w:rsid w:val="00A83B99"/>
    <w:rsid w:val="00A83E2E"/>
    <w:rsid w:val="00A83EE1"/>
    <w:rsid w:val="00A8497A"/>
    <w:rsid w:val="00A84B9E"/>
    <w:rsid w:val="00A85C52"/>
    <w:rsid w:val="00A85C82"/>
    <w:rsid w:val="00A87A26"/>
    <w:rsid w:val="00A90A5A"/>
    <w:rsid w:val="00A91809"/>
    <w:rsid w:val="00A92906"/>
    <w:rsid w:val="00A9322E"/>
    <w:rsid w:val="00A93A63"/>
    <w:rsid w:val="00A95099"/>
    <w:rsid w:val="00A95622"/>
    <w:rsid w:val="00A956C0"/>
    <w:rsid w:val="00A979B5"/>
    <w:rsid w:val="00AA0E2F"/>
    <w:rsid w:val="00AA0FA8"/>
    <w:rsid w:val="00AA2290"/>
    <w:rsid w:val="00AA2722"/>
    <w:rsid w:val="00AA2CE1"/>
    <w:rsid w:val="00AA37B6"/>
    <w:rsid w:val="00AA4CC7"/>
    <w:rsid w:val="00AA535A"/>
    <w:rsid w:val="00AA583A"/>
    <w:rsid w:val="00AA5E8E"/>
    <w:rsid w:val="00AA7048"/>
    <w:rsid w:val="00AA7C4D"/>
    <w:rsid w:val="00AA7F0C"/>
    <w:rsid w:val="00AA7F87"/>
    <w:rsid w:val="00AB0281"/>
    <w:rsid w:val="00AB0EB1"/>
    <w:rsid w:val="00AB0F1A"/>
    <w:rsid w:val="00AB163A"/>
    <w:rsid w:val="00AB1AF2"/>
    <w:rsid w:val="00AB225B"/>
    <w:rsid w:val="00AB2BAD"/>
    <w:rsid w:val="00AB383A"/>
    <w:rsid w:val="00AB46ED"/>
    <w:rsid w:val="00AB566F"/>
    <w:rsid w:val="00AB604C"/>
    <w:rsid w:val="00AB630C"/>
    <w:rsid w:val="00AB6C68"/>
    <w:rsid w:val="00AB6CA7"/>
    <w:rsid w:val="00AB6D57"/>
    <w:rsid w:val="00AB6DD5"/>
    <w:rsid w:val="00AB7C8B"/>
    <w:rsid w:val="00AC0BD4"/>
    <w:rsid w:val="00AC0D3D"/>
    <w:rsid w:val="00AC1500"/>
    <w:rsid w:val="00AC1E5F"/>
    <w:rsid w:val="00AC3B82"/>
    <w:rsid w:val="00AC3EF0"/>
    <w:rsid w:val="00AC40E4"/>
    <w:rsid w:val="00AC41A3"/>
    <w:rsid w:val="00AC422F"/>
    <w:rsid w:val="00AC45AE"/>
    <w:rsid w:val="00AC4EDF"/>
    <w:rsid w:val="00AC5718"/>
    <w:rsid w:val="00AC5F01"/>
    <w:rsid w:val="00AC620D"/>
    <w:rsid w:val="00AC64D9"/>
    <w:rsid w:val="00AC6B4B"/>
    <w:rsid w:val="00AD0097"/>
    <w:rsid w:val="00AD01E4"/>
    <w:rsid w:val="00AD0858"/>
    <w:rsid w:val="00AD1511"/>
    <w:rsid w:val="00AD17E6"/>
    <w:rsid w:val="00AD317B"/>
    <w:rsid w:val="00AD3516"/>
    <w:rsid w:val="00AD4D6E"/>
    <w:rsid w:val="00AD5E2F"/>
    <w:rsid w:val="00AD6621"/>
    <w:rsid w:val="00AD6B3A"/>
    <w:rsid w:val="00AD7B3E"/>
    <w:rsid w:val="00AD7D7C"/>
    <w:rsid w:val="00AE02E3"/>
    <w:rsid w:val="00AE0AE8"/>
    <w:rsid w:val="00AE1231"/>
    <w:rsid w:val="00AE168C"/>
    <w:rsid w:val="00AE2B11"/>
    <w:rsid w:val="00AE2E99"/>
    <w:rsid w:val="00AE4C04"/>
    <w:rsid w:val="00AE5145"/>
    <w:rsid w:val="00AE561A"/>
    <w:rsid w:val="00AE575B"/>
    <w:rsid w:val="00AE593C"/>
    <w:rsid w:val="00AE5962"/>
    <w:rsid w:val="00AE60D3"/>
    <w:rsid w:val="00AE7340"/>
    <w:rsid w:val="00AF0BB5"/>
    <w:rsid w:val="00AF0C52"/>
    <w:rsid w:val="00AF0E47"/>
    <w:rsid w:val="00AF148B"/>
    <w:rsid w:val="00AF1BBD"/>
    <w:rsid w:val="00AF246E"/>
    <w:rsid w:val="00AF29D5"/>
    <w:rsid w:val="00AF29D7"/>
    <w:rsid w:val="00AF3127"/>
    <w:rsid w:val="00AF3259"/>
    <w:rsid w:val="00AF3A06"/>
    <w:rsid w:val="00AF40FE"/>
    <w:rsid w:val="00AF43C5"/>
    <w:rsid w:val="00AF53F4"/>
    <w:rsid w:val="00AF6C45"/>
    <w:rsid w:val="00AF794B"/>
    <w:rsid w:val="00B002E2"/>
    <w:rsid w:val="00B00D40"/>
    <w:rsid w:val="00B0162E"/>
    <w:rsid w:val="00B02659"/>
    <w:rsid w:val="00B02A8C"/>
    <w:rsid w:val="00B03620"/>
    <w:rsid w:val="00B03813"/>
    <w:rsid w:val="00B04948"/>
    <w:rsid w:val="00B052C2"/>
    <w:rsid w:val="00B064AE"/>
    <w:rsid w:val="00B06FFE"/>
    <w:rsid w:val="00B07204"/>
    <w:rsid w:val="00B077F9"/>
    <w:rsid w:val="00B07950"/>
    <w:rsid w:val="00B10207"/>
    <w:rsid w:val="00B1089C"/>
    <w:rsid w:val="00B11C73"/>
    <w:rsid w:val="00B11EAF"/>
    <w:rsid w:val="00B13963"/>
    <w:rsid w:val="00B141E7"/>
    <w:rsid w:val="00B15349"/>
    <w:rsid w:val="00B15F65"/>
    <w:rsid w:val="00B161B3"/>
    <w:rsid w:val="00B16417"/>
    <w:rsid w:val="00B16447"/>
    <w:rsid w:val="00B1673F"/>
    <w:rsid w:val="00B16B69"/>
    <w:rsid w:val="00B16FD2"/>
    <w:rsid w:val="00B173EB"/>
    <w:rsid w:val="00B17D3F"/>
    <w:rsid w:val="00B22A0A"/>
    <w:rsid w:val="00B22EFB"/>
    <w:rsid w:val="00B23C0A"/>
    <w:rsid w:val="00B2435A"/>
    <w:rsid w:val="00B2493A"/>
    <w:rsid w:val="00B24B88"/>
    <w:rsid w:val="00B25B86"/>
    <w:rsid w:val="00B26197"/>
    <w:rsid w:val="00B26280"/>
    <w:rsid w:val="00B265A1"/>
    <w:rsid w:val="00B3194B"/>
    <w:rsid w:val="00B31D3C"/>
    <w:rsid w:val="00B323D3"/>
    <w:rsid w:val="00B3344F"/>
    <w:rsid w:val="00B335A4"/>
    <w:rsid w:val="00B3466A"/>
    <w:rsid w:val="00B3481D"/>
    <w:rsid w:val="00B351B4"/>
    <w:rsid w:val="00B351FA"/>
    <w:rsid w:val="00B35741"/>
    <w:rsid w:val="00B35960"/>
    <w:rsid w:val="00B40D0D"/>
    <w:rsid w:val="00B41C94"/>
    <w:rsid w:val="00B41DF4"/>
    <w:rsid w:val="00B4232B"/>
    <w:rsid w:val="00B42917"/>
    <w:rsid w:val="00B42993"/>
    <w:rsid w:val="00B42C9E"/>
    <w:rsid w:val="00B43325"/>
    <w:rsid w:val="00B43898"/>
    <w:rsid w:val="00B43DA6"/>
    <w:rsid w:val="00B4409C"/>
    <w:rsid w:val="00B44167"/>
    <w:rsid w:val="00B4563B"/>
    <w:rsid w:val="00B45F64"/>
    <w:rsid w:val="00B46BCA"/>
    <w:rsid w:val="00B47356"/>
    <w:rsid w:val="00B47528"/>
    <w:rsid w:val="00B478AA"/>
    <w:rsid w:val="00B51D5C"/>
    <w:rsid w:val="00B52415"/>
    <w:rsid w:val="00B53A0A"/>
    <w:rsid w:val="00B554FE"/>
    <w:rsid w:val="00B555CE"/>
    <w:rsid w:val="00B55692"/>
    <w:rsid w:val="00B55C0A"/>
    <w:rsid w:val="00B56028"/>
    <w:rsid w:val="00B565C7"/>
    <w:rsid w:val="00B5679C"/>
    <w:rsid w:val="00B5711A"/>
    <w:rsid w:val="00B57AA7"/>
    <w:rsid w:val="00B57D8C"/>
    <w:rsid w:val="00B600A4"/>
    <w:rsid w:val="00B600FD"/>
    <w:rsid w:val="00B60421"/>
    <w:rsid w:val="00B60E1D"/>
    <w:rsid w:val="00B61D64"/>
    <w:rsid w:val="00B61E17"/>
    <w:rsid w:val="00B62678"/>
    <w:rsid w:val="00B64106"/>
    <w:rsid w:val="00B64332"/>
    <w:rsid w:val="00B64F3D"/>
    <w:rsid w:val="00B6529F"/>
    <w:rsid w:val="00B65F61"/>
    <w:rsid w:val="00B665CD"/>
    <w:rsid w:val="00B700FB"/>
    <w:rsid w:val="00B7038E"/>
    <w:rsid w:val="00B710D7"/>
    <w:rsid w:val="00B716B9"/>
    <w:rsid w:val="00B729C8"/>
    <w:rsid w:val="00B72E5C"/>
    <w:rsid w:val="00B744B8"/>
    <w:rsid w:val="00B7479D"/>
    <w:rsid w:val="00B75663"/>
    <w:rsid w:val="00B76A1F"/>
    <w:rsid w:val="00B76EBD"/>
    <w:rsid w:val="00B76FE6"/>
    <w:rsid w:val="00B77482"/>
    <w:rsid w:val="00B77CD0"/>
    <w:rsid w:val="00B77D4D"/>
    <w:rsid w:val="00B8018B"/>
    <w:rsid w:val="00B80902"/>
    <w:rsid w:val="00B80A4C"/>
    <w:rsid w:val="00B80A53"/>
    <w:rsid w:val="00B8131D"/>
    <w:rsid w:val="00B825C2"/>
    <w:rsid w:val="00B82619"/>
    <w:rsid w:val="00B82883"/>
    <w:rsid w:val="00B82DE0"/>
    <w:rsid w:val="00B84993"/>
    <w:rsid w:val="00B84C00"/>
    <w:rsid w:val="00B851DF"/>
    <w:rsid w:val="00B85325"/>
    <w:rsid w:val="00B85425"/>
    <w:rsid w:val="00B85FD4"/>
    <w:rsid w:val="00B862DA"/>
    <w:rsid w:val="00B87565"/>
    <w:rsid w:val="00B87806"/>
    <w:rsid w:val="00B87EC9"/>
    <w:rsid w:val="00B90CA6"/>
    <w:rsid w:val="00B91F5D"/>
    <w:rsid w:val="00B9240D"/>
    <w:rsid w:val="00B92EBB"/>
    <w:rsid w:val="00B93640"/>
    <w:rsid w:val="00B93FF5"/>
    <w:rsid w:val="00B949AB"/>
    <w:rsid w:val="00B94C9E"/>
    <w:rsid w:val="00B94D33"/>
    <w:rsid w:val="00B9505A"/>
    <w:rsid w:val="00B95B1A"/>
    <w:rsid w:val="00B967C9"/>
    <w:rsid w:val="00B97D88"/>
    <w:rsid w:val="00BA01FF"/>
    <w:rsid w:val="00BA070B"/>
    <w:rsid w:val="00BA0B92"/>
    <w:rsid w:val="00BA13ED"/>
    <w:rsid w:val="00BA2E21"/>
    <w:rsid w:val="00BA3864"/>
    <w:rsid w:val="00BA38B0"/>
    <w:rsid w:val="00BA3CD7"/>
    <w:rsid w:val="00BA3E5E"/>
    <w:rsid w:val="00BA4149"/>
    <w:rsid w:val="00BA4427"/>
    <w:rsid w:val="00BA4B44"/>
    <w:rsid w:val="00BA4B4D"/>
    <w:rsid w:val="00BA5137"/>
    <w:rsid w:val="00BA5BD9"/>
    <w:rsid w:val="00BA74E1"/>
    <w:rsid w:val="00BB0455"/>
    <w:rsid w:val="00BB156F"/>
    <w:rsid w:val="00BB19A1"/>
    <w:rsid w:val="00BB29F0"/>
    <w:rsid w:val="00BB4D8C"/>
    <w:rsid w:val="00BB5140"/>
    <w:rsid w:val="00BB6106"/>
    <w:rsid w:val="00BB6133"/>
    <w:rsid w:val="00BB6691"/>
    <w:rsid w:val="00BB751A"/>
    <w:rsid w:val="00BB778C"/>
    <w:rsid w:val="00BC24A1"/>
    <w:rsid w:val="00BC2500"/>
    <w:rsid w:val="00BC2952"/>
    <w:rsid w:val="00BC38FD"/>
    <w:rsid w:val="00BC3C53"/>
    <w:rsid w:val="00BC3C89"/>
    <w:rsid w:val="00BC4C9E"/>
    <w:rsid w:val="00BC578B"/>
    <w:rsid w:val="00BC5BEC"/>
    <w:rsid w:val="00BC5C73"/>
    <w:rsid w:val="00BC60B5"/>
    <w:rsid w:val="00BC6BE8"/>
    <w:rsid w:val="00BD169E"/>
    <w:rsid w:val="00BD28F0"/>
    <w:rsid w:val="00BD30D2"/>
    <w:rsid w:val="00BD3EB5"/>
    <w:rsid w:val="00BD4824"/>
    <w:rsid w:val="00BD4A2B"/>
    <w:rsid w:val="00BD6191"/>
    <w:rsid w:val="00BD7269"/>
    <w:rsid w:val="00BD72C1"/>
    <w:rsid w:val="00BD7B76"/>
    <w:rsid w:val="00BE064B"/>
    <w:rsid w:val="00BE0678"/>
    <w:rsid w:val="00BE09D0"/>
    <w:rsid w:val="00BE2586"/>
    <w:rsid w:val="00BE314B"/>
    <w:rsid w:val="00BE479B"/>
    <w:rsid w:val="00BE47BE"/>
    <w:rsid w:val="00BE4A70"/>
    <w:rsid w:val="00BE511F"/>
    <w:rsid w:val="00BE52B5"/>
    <w:rsid w:val="00BE6240"/>
    <w:rsid w:val="00BE6451"/>
    <w:rsid w:val="00BE6D1B"/>
    <w:rsid w:val="00BE6FCB"/>
    <w:rsid w:val="00BE731E"/>
    <w:rsid w:val="00BF020D"/>
    <w:rsid w:val="00BF0849"/>
    <w:rsid w:val="00BF1D99"/>
    <w:rsid w:val="00BF3CE8"/>
    <w:rsid w:val="00BF4735"/>
    <w:rsid w:val="00BF4902"/>
    <w:rsid w:val="00BF4A8F"/>
    <w:rsid w:val="00BF5A0E"/>
    <w:rsid w:val="00BF69C9"/>
    <w:rsid w:val="00BF6C0F"/>
    <w:rsid w:val="00BF737C"/>
    <w:rsid w:val="00BF7F5D"/>
    <w:rsid w:val="00C0096D"/>
    <w:rsid w:val="00C01684"/>
    <w:rsid w:val="00C01DF8"/>
    <w:rsid w:val="00C02231"/>
    <w:rsid w:val="00C02BA1"/>
    <w:rsid w:val="00C02D7C"/>
    <w:rsid w:val="00C030AB"/>
    <w:rsid w:val="00C034CB"/>
    <w:rsid w:val="00C03D13"/>
    <w:rsid w:val="00C04BD3"/>
    <w:rsid w:val="00C04BF4"/>
    <w:rsid w:val="00C0509B"/>
    <w:rsid w:val="00C051A8"/>
    <w:rsid w:val="00C05240"/>
    <w:rsid w:val="00C05489"/>
    <w:rsid w:val="00C054BC"/>
    <w:rsid w:val="00C059D0"/>
    <w:rsid w:val="00C06851"/>
    <w:rsid w:val="00C06EDC"/>
    <w:rsid w:val="00C07859"/>
    <w:rsid w:val="00C07D28"/>
    <w:rsid w:val="00C10433"/>
    <w:rsid w:val="00C10F5C"/>
    <w:rsid w:val="00C1142D"/>
    <w:rsid w:val="00C11B7D"/>
    <w:rsid w:val="00C11F53"/>
    <w:rsid w:val="00C12F3B"/>
    <w:rsid w:val="00C1355E"/>
    <w:rsid w:val="00C137E0"/>
    <w:rsid w:val="00C14033"/>
    <w:rsid w:val="00C1499F"/>
    <w:rsid w:val="00C14CF5"/>
    <w:rsid w:val="00C15220"/>
    <w:rsid w:val="00C158D4"/>
    <w:rsid w:val="00C16204"/>
    <w:rsid w:val="00C170C2"/>
    <w:rsid w:val="00C1741A"/>
    <w:rsid w:val="00C17547"/>
    <w:rsid w:val="00C176F3"/>
    <w:rsid w:val="00C17897"/>
    <w:rsid w:val="00C202E9"/>
    <w:rsid w:val="00C2199B"/>
    <w:rsid w:val="00C21A7C"/>
    <w:rsid w:val="00C22ACF"/>
    <w:rsid w:val="00C23CE0"/>
    <w:rsid w:val="00C23D5E"/>
    <w:rsid w:val="00C24418"/>
    <w:rsid w:val="00C24D55"/>
    <w:rsid w:val="00C26AB7"/>
    <w:rsid w:val="00C273C7"/>
    <w:rsid w:val="00C30D93"/>
    <w:rsid w:val="00C312D2"/>
    <w:rsid w:val="00C3136D"/>
    <w:rsid w:val="00C31372"/>
    <w:rsid w:val="00C316D5"/>
    <w:rsid w:val="00C32544"/>
    <w:rsid w:val="00C32B95"/>
    <w:rsid w:val="00C32CD4"/>
    <w:rsid w:val="00C35493"/>
    <w:rsid w:val="00C357DB"/>
    <w:rsid w:val="00C362A6"/>
    <w:rsid w:val="00C367C9"/>
    <w:rsid w:val="00C36AE6"/>
    <w:rsid w:val="00C3760F"/>
    <w:rsid w:val="00C37C61"/>
    <w:rsid w:val="00C40052"/>
    <w:rsid w:val="00C4038C"/>
    <w:rsid w:val="00C405EB"/>
    <w:rsid w:val="00C409D5"/>
    <w:rsid w:val="00C40B13"/>
    <w:rsid w:val="00C415A6"/>
    <w:rsid w:val="00C41CD2"/>
    <w:rsid w:val="00C41D34"/>
    <w:rsid w:val="00C435C3"/>
    <w:rsid w:val="00C43B06"/>
    <w:rsid w:val="00C43DC9"/>
    <w:rsid w:val="00C43FAE"/>
    <w:rsid w:val="00C44133"/>
    <w:rsid w:val="00C4460E"/>
    <w:rsid w:val="00C44B9B"/>
    <w:rsid w:val="00C44CC9"/>
    <w:rsid w:val="00C44E5F"/>
    <w:rsid w:val="00C4555E"/>
    <w:rsid w:val="00C45921"/>
    <w:rsid w:val="00C4660B"/>
    <w:rsid w:val="00C46634"/>
    <w:rsid w:val="00C46B05"/>
    <w:rsid w:val="00C4722C"/>
    <w:rsid w:val="00C50334"/>
    <w:rsid w:val="00C51486"/>
    <w:rsid w:val="00C51595"/>
    <w:rsid w:val="00C51B7C"/>
    <w:rsid w:val="00C52727"/>
    <w:rsid w:val="00C5312C"/>
    <w:rsid w:val="00C560EE"/>
    <w:rsid w:val="00C56197"/>
    <w:rsid w:val="00C56FFA"/>
    <w:rsid w:val="00C5700F"/>
    <w:rsid w:val="00C60976"/>
    <w:rsid w:val="00C60C51"/>
    <w:rsid w:val="00C61B63"/>
    <w:rsid w:val="00C6234B"/>
    <w:rsid w:val="00C6290B"/>
    <w:rsid w:val="00C639EB"/>
    <w:rsid w:val="00C63E95"/>
    <w:rsid w:val="00C63EAE"/>
    <w:rsid w:val="00C6412A"/>
    <w:rsid w:val="00C656EE"/>
    <w:rsid w:val="00C66540"/>
    <w:rsid w:val="00C66D08"/>
    <w:rsid w:val="00C676CE"/>
    <w:rsid w:val="00C7024B"/>
    <w:rsid w:val="00C70E01"/>
    <w:rsid w:val="00C71D9D"/>
    <w:rsid w:val="00C7248A"/>
    <w:rsid w:val="00C72E6A"/>
    <w:rsid w:val="00C73260"/>
    <w:rsid w:val="00C735DB"/>
    <w:rsid w:val="00C74684"/>
    <w:rsid w:val="00C748DF"/>
    <w:rsid w:val="00C74B5F"/>
    <w:rsid w:val="00C74F97"/>
    <w:rsid w:val="00C75271"/>
    <w:rsid w:val="00C7540C"/>
    <w:rsid w:val="00C75F5B"/>
    <w:rsid w:val="00C7629F"/>
    <w:rsid w:val="00C76AEF"/>
    <w:rsid w:val="00C771BE"/>
    <w:rsid w:val="00C77250"/>
    <w:rsid w:val="00C8004D"/>
    <w:rsid w:val="00C823AC"/>
    <w:rsid w:val="00C82A5A"/>
    <w:rsid w:val="00C82CD5"/>
    <w:rsid w:val="00C83796"/>
    <w:rsid w:val="00C8393A"/>
    <w:rsid w:val="00C8439A"/>
    <w:rsid w:val="00C847C0"/>
    <w:rsid w:val="00C85139"/>
    <w:rsid w:val="00C851C0"/>
    <w:rsid w:val="00C8531E"/>
    <w:rsid w:val="00C856E8"/>
    <w:rsid w:val="00C85990"/>
    <w:rsid w:val="00C85BF3"/>
    <w:rsid w:val="00C8661B"/>
    <w:rsid w:val="00C87F56"/>
    <w:rsid w:val="00C9247D"/>
    <w:rsid w:val="00C93835"/>
    <w:rsid w:val="00C939C5"/>
    <w:rsid w:val="00C93BD0"/>
    <w:rsid w:val="00C93C63"/>
    <w:rsid w:val="00C94925"/>
    <w:rsid w:val="00C95040"/>
    <w:rsid w:val="00C95213"/>
    <w:rsid w:val="00C9528B"/>
    <w:rsid w:val="00C95539"/>
    <w:rsid w:val="00C95571"/>
    <w:rsid w:val="00C95C54"/>
    <w:rsid w:val="00C96974"/>
    <w:rsid w:val="00C97581"/>
    <w:rsid w:val="00C97660"/>
    <w:rsid w:val="00C979BF"/>
    <w:rsid w:val="00CA03C8"/>
    <w:rsid w:val="00CA0630"/>
    <w:rsid w:val="00CA0DFD"/>
    <w:rsid w:val="00CA0E09"/>
    <w:rsid w:val="00CA139A"/>
    <w:rsid w:val="00CA19FA"/>
    <w:rsid w:val="00CA2493"/>
    <w:rsid w:val="00CA2899"/>
    <w:rsid w:val="00CA33A2"/>
    <w:rsid w:val="00CA38AB"/>
    <w:rsid w:val="00CA3A3D"/>
    <w:rsid w:val="00CA3AA6"/>
    <w:rsid w:val="00CA3EF3"/>
    <w:rsid w:val="00CA4880"/>
    <w:rsid w:val="00CA4D2A"/>
    <w:rsid w:val="00CA50C7"/>
    <w:rsid w:val="00CA51FC"/>
    <w:rsid w:val="00CA555C"/>
    <w:rsid w:val="00CA5FFD"/>
    <w:rsid w:val="00CA7025"/>
    <w:rsid w:val="00CA77FB"/>
    <w:rsid w:val="00CA793D"/>
    <w:rsid w:val="00CA7942"/>
    <w:rsid w:val="00CB026C"/>
    <w:rsid w:val="00CB0C67"/>
    <w:rsid w:val="00CB12A4"/>
    <w:rsid w:val="00CB1A3D"/>
    <w:rsid w:val="00CB1A93"/>
    <w:rsid w:val="00CB2529"/>
    <w:rsid w:val="00CB2886"/>
    <w:rsid w:val="00CB2B07"/>
    <w:rsid w:val="00CB3293"/>
    <w:rsid w:val="00CB379B"/>
    <w:rsid w:val="00CB3BF4"/>
    <w:rsid w:val="00CB4074"/>
    <w:rsid w:val="00CB454A"/>
    <w:rsid w:val="00CB46FA"/>
    <w:rsid w:val="00CB4F88"/>
    <w:rsid w:val="00CB5DD0"/>
    <w:rsid w:val="00CB6867"/>
    <w:rsid w:val="00CB6E4A"/>
    <w:rsid w:val="00CB7980"/>
    <w:rsid w:val="00CC0629"/>
    <w:rsid w:val="00CC06BA"/>
    <w:rsid w:val="00CC0772"/>
    <w:rsid w:val="00CC0B2A"/>
    <w:rsid w:val="00CC13F8"/>
    <w:rsid w:val="00CC22E6"/>
    <w:rsid w:val="00CC269A"/>
    <w:rsid w:val="00CC2C6C"/>
    <w:rsid w:val="00CC4AD9"/>
    <w:rsid w:val="00CC51D4"/>
    <w:rsid w:val="00CC52F2"/>
    <w:rsid w:val="00CC5888"/>
    <w:rsid w:val="00CC65DA"/>
    <w:rsid w:val="00CC66E1"/>
    <w:rsid w:val="00CC6843"/>
    <w:rsid w:val="00CC6C62"/>
    <w:rsid w:val="00CC794C"/>
    <w:rsid w:val="00CD0572"/>
    <w:rsid w:val="00CD0A83"/>
    <w:rsid w:val="00CD1043"/>
    <w:rsid w:val="00CD122B"/>
    <w:rsid w:val="00CD13F3"/>
    <w:rsid w:val="00CD14B9"/>
    <w:rsid w:val="00CD1962"/>
    <w:rsid w:val="00CD2512"/>
    <w:rsid w:val="00CD3D12"/>
    <w:rsid w:val="00CD46B3"/>
    <w:rsid w:val="00CD692C"/>
    <w:rsid w:val="00CD6C8C"/>
    <w:rsid w:val="00CE0AB0"/>
    <w:rsid w:val="00CE1182"/>
    <w:rsid w:val="00CE11CC"/>
    <w:rsid w:val="00CE18A4"/>
    <w:rsid w:val="00CE2AA7"/>
    <w:rsid w:val="00CE31D4"/>
    <w:rsid w:val="00CE4835"/>
    <w:rsid w:val="00CE4916"/>
    <w:rsid w:val="00CE5AA0"/>
    <w:rsid w:val="00CE7CC3"/>
    <w:rsid w:val="00CF0103"/>
    <w:rsid w:val="00CF1006"/>
    <w:rsid w:val="00CF174F"/>
    <w:rsid w:val="00CF18FA"/>
    <w:rsid w:val="00CF1921"/>
    <w:rsid w:val="00CF21B9"/>
    <w:rsid w:val="00CF2930"/>
    <w:rsid w:val="00CF2A2D"/>
    <w:rsid w:val="00CF3DA3"/>
    <w:rsid w:val="00CF43EE"/>
    <w:rsid w:val="00CF6BF9"/>
    <w:rsid w:val="00CF756B"/>
    <w:rsid w:val="00D00748"/>
    <w:rsid w:val="00D00BF1"/>
    <w:rsid w:val="00D00E37"/>
    <w:rsid w:val="00D01783"/>
    <w:rsid w:val="00D01D1E"/>
    <w:rsid w:val="00D0235E"/>
    <w:rsid w:val="00D0246C"/>
    <w:rsid w:val="00D02A5C"/>
    <w:rsid w:val="00D03800"/>
    <w:rsid w:val="00D0426D"/>
    <w:rsid w:val="00D0507C"/>
    <w:rsid w:val="00D065D3"/>
    <w:rsid w:val="00D0702C"/>
    <w:rsid w:val="00D0799F"/>
    <w:rsid w:val="00D10527"/>
    <w:rsid w:val="00D105F3"/>
    <w:rsid w:val="00D10A1E"/>
    <w:rsid w:val="00D10DD2"/>
    <w:rsid w:val="00D11C4B"/>
    <w:rsid w:val="00D12263"/>
    <w:rsid w:val="00D12AE2"/>
    <w:rsid w:val="00D12AEC"/>
    <w:rsid w:val="00D134BB"/>
    <w:rsid w:val="00D13799"/>
    <w:rsid w:val="00D13871"/>
    <w:rsid w:val="00D139CB"/>
    <w:rsid w:val="00D13FDE"/>
    <w:rsid w:val="00D14142"/>
    <w:rsid w:val="00D14A27"/>
    <w:rsid w:val="00D14C94"/>
    <w:rsid w:val="00D14D6D"/>
    <w:rsid w:val="00D1520F"/>
    <w:rsid w:val="00D15613"/>
    <w:rsid w:val="00D2057C"/>
    <w:rsid w:val="00D20C48"/>
    <w:rsid w:val="00D215E1"/>
    <w:rsid w:val="00D21DE7"/>
    <w:rsid w:val="00D21DF3"/>
    <w:rsid w:val="00D22D45"/>
    <w:rsid w:val="00D231C8"/>
    <w:rsid w:val="00D2408C"/>
    <w:rsid w:val="00D24B79"/>
    <w:rsid w:val="00D256FA"/>
    <w:rsid w:val="00D25A9F"/>
    <w:rsid w:val="00D26057"/>
    <w:rsid w:val="00D26627"/>
    <w:rsid w:val="00D26D63"/>
    <w:rsid w:val="00D27672"/>
    <w:rsid w:val="00D27F49"/>
    <w:rsid w:val="00D30BC3"/>
    <w:rsid w:val="00D31972"/>
    <w:rsid w:val="00D31C4A"/>
    <w:rsid w:val="00D328B9"/>
    <w:rsid w:val="00D32F94"/>
    <w:rsid w:val="00D334F7"/>
    <w:rsid w:val="00D3421B"/>
    <w:rsid w:val="00D342A6"/>
    <w:rsid w:val="00D343C4"/>
    <w:rsid w:val="00D34440"/>
    <w:rsid w:val="00D3449E"/>
    <w:rsid w:val="00D3458A"/>
    <w:rsid w:val="00D347C3"/>
    <w:rsid w:val="00D35358"/>
    <w:rsid w:val="00D35A33"/>
    <w:rsid w:val="00D3636B"/>
    <w:rsid w:val="00D36A6A"/>
    <w:rsid w:val="00D36E19"/>
    <w:rsid w:val="00D37634"/>
    <w:rsid w:val="00D400F9"/>
    <w:rsid w:val="00D40F05"/>
    <w:rsid w:val="00D41024"/>
    <w:rsid w:val="00D428AA"/>
    <w:rsid w:val="00D4348B"/>
    <w:rsid w:val="00D443BE"/>
    <w:rsid w:val="00D45632"/>
    <w:rsid w:val="00D45CA6"/>
    <w:rsid w:val="00D464BF"/>
    <w:rsid w:val="00D46635"/>
    <w:rsid w:val="00D467D9"/>
    <w:rsid w:val="00D47574"/>
    <w:rsid w:val="00D52BDB"/>
    <w:rsid w:val="00D5356B"/>
    <w:rsid w:val="00D539D8"/>
    <w:rsid w:val="00D53E26"/>
    <w:rsid w:val="00D53F23"/>
    <w:rsid w:val="00D553D3"/>
    <w:rsid w:val="00D557EE"/>
    <w:rsid w:val="00D57074"/>
    <w:rsid w:val="00D571F1"/>
    <w:rsid w:val="00D60AA7"/>
    <w:rsid w:val="00D60EE3"/>
    <w:rsid w:val="00D60EE7"/>
    <w:rsid w:val="00D62F75"/>
    <w:rsid w:val="00D630BE"/>
    <w:rsid w:val="00D630C4"/>
    <w:rsid w:val="00D6322D"/>
    <w:rsid w:val="00D650A7"/>
    <w:rsid w:val="00D65ADD"/>
    <w:rsid w:val="00D65EBE"/>
    <w:rsid w:val="00D671E5"/>
    <w:rsid w:val="00D70D7E"/>
    <w:rsid w:val="00D70E00"/>
    <w:rsid w:val="00D70E31"/>
    <w:rsid w:val="00D711B2"/>
    <w:rsid w:val="00D72DA3"/>
    <w:rsid w:val="00D73500"/>
    <w:rsid w:val="00D755F8"/>
    <w:rsid w:val="00D758ED"/>
    <w:rsid w:val="00D76752"/>
    <w:rsid w:val="00D77688"/>
    <w:rsid w:val="00D802A1"/>
    <w:rsid w:val="00D802C0"/>
    <w:rsid w:val="00D8159D"/>
    <w:rsid w:val="00D820BC"/>
    <w:rsid w:val="00D829B1"/>
    <w:rsid w:val="00D829B4"/>
    <w:rsid w:val="00D82EEF"/>
    <w:rsid w:val="00D8377A"/>
    <w:rsid w:val="00D847A6"/>
    <w:rsid w:val="00D84B62"/>
    <w:rsid w:val="00D84D15"/>
    <w:rsid w:val="00D85297"/>
    <w:rsid w:val="00D85B77"/>
    <w:rsid w:val="00D86AF5"/>
    <w:rsid w:val="00D87054"/>
    <w:rsid w:val="00D87308"/>
    <w:rsid w:val="00D9080F"/>
    <w:rsid w:val="00D911DB"/>
    <w:rsid w:val="00D9128C"/>
    <w:rsid w:val="00D91F0A"/>
    <w:rsid w:val="00D94CCE"/>
    <w:rsid w:val="00D95055"/>
    <w:rsid w:val="00D95400"/>
    <w:rsid w:val="00D95AA4"/>
    <w:rsid w:val="00D979E4"/>
    <w:rsid w:val="00DA0339"/>
    <w:rsid w:val="00DA1940"/>
    <w:rsid w:val="00DA2F2C"/>
    <w:rsid w:val="00DA3A89"/>
    <w:rsid w:val="00DA3A9D"/>
    <w:rsid w:val="00DA3D7C"/>
    <w:rsid w:val="00DA41D9"/>
    <w:rsid w:val="00DA42CD"/>
    <w:rsid w:val="00DA5AAE"/>
    <w:rsid w:val="00DA5C09"/>
    <w:rsid w:val="00DA5CCE"/>
    <w:rsid w:val="00DA61BD"/>
    <w:rsid w:val="00DA653F"/>
    <w:rsid w:val="00DA6EF0"/>
    <w:rsid w:val="00DA74C4"/>
    <w:rsid w:val="00DA78EC"/>
    <w:rsid w:val="00DA7B6D"/>
    <w:rsid w:val="00DB020A"/>
    <w:rsid w:val="00DB0714"/>
    <w:rsid w:val="00DB0E8A"/>
    <w:rsid w:val="00DB0EF5"/>
    <w:rsid w:val="00DB1610"/>
    <w:rsid w:val="00DB182C"/>
    <w:rsid w:val="00DB2582"/>
    <w:rsid w:val="00DB26D3"/>
    <w:rsid w:val="00DB3315"/>
    <w:rsid w:val="00DB390F"/>
    <w:rsid w:val="00DB5402"/>
    <w:rsid w:val="00DB62A2"/>
    <w:rsid w:val="00DB7B86"/>
    <w:rsid w:val="00DC02C0"/>
    <w:rsid w:val="00DC0F46"/>
    <w:rsid w:val="00DC1447"/>
    <w:rsid w:val="00DC169E"/>
    <w:rsid w:val="00DC1AB9"/>
    <w:rsid w:val="00DC22D8"/>
    <w:rsid w:val="00DC2DB9"/>
    <w:rsid w:val="00DC30E6"/>
    <w:rsid w:val="00DC32A9"/>
    <w:rsid w:val="00DC3445"/>
    <w:rsid w:val="00DC3827"/>
    <w:rsid w:val="00DC3BD1"/>
    <w:rsid w:val="00DC4047"/>
    <w:rsid w:val="00DC4BB6"/>
    <w:rsid w:val="00DC5571"/>
    <w:rsid w:val="00DC61DA"/>
    <w:rsid w:val="00DC756E"/>
    <w:rsid w:val="00DC75EF"/>
    <w:rsid w:val="00DC7B09"/>
    <w:rsid w:val="00DC7C59"/>
    <w:rsid w:val="00DD0717"/>
    <w:rsid w:val="00DD096C"/>
    <w:rsid w:val="00DD1C5D"/>
    <w:rsid w:val="00DD236B"/>
    <w:rsid w:val="00DD2769"/>
    <w:rsid w:val="00DD328C"/>
    <w:rsid w:val="00DD3302"/>
    <w:rsid w:val="00DD3943"/>
    <w:rsid w:val="00DD4925"/>
    <w:rsid w:val="00DD4F0E"/>
    <w:rsid w:val="00DD5262"/>
    <w:rsid w:val="00DD54ED"/>
    <w:rsid w:val="00DD5F22"/>
    <w:rsid w:val="00DD763B"/>
    <w:rsid w:val="00DE0301"/>
    <w:rsid w:val="00DE0C49"/>
    <w:rsid w:val="00DE1567"/>
    <w:rsid w:val="00DE1D45"/>
    <w:rsid w:val="00DE220F"/>
    <w:rsid w:val="00DE26A0"/>
    <w:rsid w:val="00DE2E3D"/>
    <w:rsid w:val="00DE48F3"/>
    <w:rsid w:val="00DE4ACD"/>
    <w:rsid w:val="00DE5DD4"/>
    <w:rsid w:val="00DE67BD"/>
    <w:rsid w:val="00DE6F65"/>
    <w:rsid w:val="00DE74ED"/>
    <w:rsid w:val="00DE7847"/>
    <w:rsid w:val="00DE7B7E"/>
    <w:rsid w:val="00DE7CFB"/>
    <w:rsid w:val="00DF02B2"/>
    <w:rsid w:val="00DF07D1"/>
    <w:rsid w:val="00DF0861"/>
    <w:rsid w:val="00DF0BF0"/>
    <w:rsid w:val="00DF1A0C"/>
    <w:rsid w:val="00DF1CB4"/>
    <w:rsid w:val="00DF1E1D"/>
    <w:rsid w:val="00DF367F"/>
    <w:rsid w:val="00DF376D"/>
    <w:rsid w:val="00DF3CA2"/>
    <w:rsid w:val="00DF3EF4"/>
    <w:rsid w:val="00DF487E"/>
    <w:rsid w:val="00DF5747"/>
    <w:rsid w:val="00DF5798"/>
    <w:rsid w:val="00DF6A7B"/>
    <w:rsid w:val="00DF6CDF"/>
    <w:rsid w:val="00DF71DC"/>
    <w:rsid w:val="00DF753B"/>
    <w:rsid w:val="00DF7651"/>
    <w:rsid w:val="00DF76BF"/>
    <w:rsid w:val="00DF78A4"/>
    <w:rsid w:val="00DF7E9D"/>
    <w:rsid w:val="00E002F6"/>
    <w:rsid w:val="00E00C27"/>
    <w:rsid w:val="00E01195"/>
    <w:rsid w:val="00E01375"/>
    <w:rsid w:val="00E01463"/>
    <w:rsid w:val="00E01A6B"/>
    <w:rsid w:val="00E01CC7"/>
    <w:rsid w:val="00E027BC"/>
    <w:rsid w:val="00E02991"/>
    <w:rsid w:val="00E03B99"/>
    <w:rsid w:val="00E04E12"/>
    <w:rsid w:val="00E04F2F"/>
    <w:rsid w:val="00E0504A"/>
    <w:rsid w:val="00E05050"/>
    <w:rsid w:val="00E052C8"/>
    <w:rsid w:val="00E05DFC"/>
    <w:rsid w:val="00E05E0A"/>
    <w:rsid w:val="00E05FB4"/>
    <w:rsid w:val="00E060BE"/>
    <w:rsid w:val="00E062E2"/>
    <w:rsid w:val="00E067E2"/>
    <w:rsid w:val="00E07AC5"/>
    <w:rsid w:val="00E07D8F"/>
    <w:rsid w:val="00E10253"/>
    <w:rsid w:val="00E10452"/>
    <w:rsid w:val="00E10E29"/>
    <w:rsid w:val="00E11E1D"/>
    <w:rsid w:val="00E12397"/>
    <w:rsid w:val="00E13A76"/>
    <w:rsid w:val="00E14ADA"/>
    <w:rsid w:val="00E1600A"/>
    <w:rsid w:val="00E16AAC"/>
    <w:rsid w:val="00E16B97"/>
    <w:rsid w:val="00E16D69"/>
    <w:rsid w:val="00E172D7"/>
    <w:rsid w:val="00E17F4B"/>
    <w:rsid w:val="00E2266F"/>
    <w:rsid w:val="00E2276F"/>
    <w:rsid w:val="00E22FCA"/>
    <w:rsid w:val="00E2391A"/>
    <w:rsid w:val="00E24857"/>
    <w:rsid w:val="00E25479"/>
    <w:rsid w:val="00E26F95"/>
    <w:rsid w:val="00E27337"/>
    <w:rsid w:val="00E27608"/>
    <w:rsid w:val="00E2798B"/>
    <w:rsid w:val="00E30423"/>
    <w:rsid w:val="00E3092E"/>
    <w:rsid w:val="00E32863"/>
    <w:rsid w:val="00E3419F"/>
    <w:rsid w:val="00E348B6"/>
    <w:rsid w:val="00E357DC"/>
    <w:rsid w:val="00E35C3D"/>
    <w:rsid w:val="00E36416"/>
    <w:rsid w:val="00E36456"/>
    <w:rsid w:val="00E3651B"/>
    <w:rsid w:val="00E40697"/>
    <w:rsid w:val="00E40B05"/>
    <w:rsid w:val="00E41C11"/>
    <w:rsid w:val="00E4302C"/>
    <w:rsid w:val="00E4334D"/>
    <w:rsid w:val="00E433C6"/>
    <w:rsid w:val="00E437F3"/>
    <w:rsid w:val="00E442C8"/>
    <w:rsid w:val="00E44594"/>
    <w:rsid w:val="00E44D6B"/>
    <w:rsid w:val="00E45320"/>
    <w:rsid w:val="00E474A8"/>
    <w:rsid w:val="00E47724"/>
    <w:rsid w:val="00E47A98"/>
    <w:rsid w:val="00E512DA"/>
    <w:rsid w:val="00E521C9"/>
    <w:rsid w:val="00E52B6B"/>
    <w:rsid w:val="00E534CF"/>
    <w:rsid w:val="00E538D3"/>
    <w:rsid w:val="00E54130"/>
    <w:rsid w:val="00E553F7"/>
    <w:rsid w:val="00E559E6"/>
    <w:rsid w:val="00E55A79"/>
    <w:rsid w:val="00E56D4F"/>
    <w:rsid w:val="00E5777D"/>
    <w:rsid w:val="00E57794"/>
    <w:rsid w:val="00E57D8E"/>
    <w:rsid w:val="00E609EA"/>
    <w:rsid w:val="00E60D3E"/>
    <w:rsid w:val="00E616CF"/>
    <w:rsid w:val="00E61918"/>
    <w:rsid w:val="00E61CB7"/>
    <w:rsid w:val="00E62A1F"/>
    <w:rsid w:val="00E6302C"/>
    <w:rsid w:val="00E64159"/>
    <w:rsid w:val="00E64FC8"/>
    <w:rsid w:val="00E65533"/>
    <w:rsid w:val="00E656EB"/>
    <w:rsid w:val="00E65B18"/>
    <w:rsid w:val="00E66518"/>
    <w:rsid w:val="00E6680A"/>
    <w:rsid w:val="00E66A24"/>
    <w:rsid w:val="00E66E6C"/>
    <w:rsid w:val="00E66EF8"/>
    <w:rsid w:val="00E6757C"/>
    <w:rsid w:val="00E676CD"/>
    <w:rsid w:val="00E67912"/>
    <w:rsid w:val="00E70217"/>
    <w:rsid w:val="00E70525"/>
    <w:rsid w:val="00E70532"/>
    <w:rsid w:val="00E7141C"/>
    <w:rsid w:val="00E71517"/>
    <w:rsid w:val="00E72226"/>
    <w:rsid w:val="00E726AD"/>
    <w:rsid w:val="00E73CF4"/>
    <w:rsid w:val="00E73E6A"/>
    <w:rsid w:val="00E759AB"/>
    <w:rsid w:val="00E76552"/>
    <w:rsid w:val="00E77C52"/>
    <w:rsid w:val="00E80AA0"/>
    <w:rsid w:val="00E81AA5"/>
    <w:rsid w:val="00E81CB4"/>
    <w:rsid w:val="00E82735"/>
    <w:rsid w:val="00E82A33"/>
    <w:rsid w:val="00E837B2"/>
    <w:rsid w:val="00E8393E"/>
    <w:rsid w:val="00E83D66"/>
    <w:rsid w:val="00E83DD8"/>
    <w:rsid w:val="00E83F58"/>
    <w:rsid w:val="00E8418B"/>
    <w:rsid w:val="00E848F3"/>
    <w:rsid w:val="00E8585B"/>
    <w:rsid w:val="00E861E7"/>
    <w:rsid w:val="00E862E0"/>
    <w:rsid w:val="00E86C55"/>
    <w:rsid w:val="00E87CCE"/>
    <w:rsid w:val="00E87E8E"/>
    <w:rsid w:val="00E87F41"/>
    <w:rsid w:val="00E90E21"/>
    <w:rsid w:val="00E92880"/>
    <w:rsid w:val="00E9330F"/>
    <w:rsid w:val="00E95D69"/>
    <w:rsid w:val="00E962AC"/>
    <w:rsid w:val="00E968D0"/>
    <w:rsid w:val="00E97083"/>
    <w:rsid w:val="00E973B0"/>
    <w:rsid w:val="00E9776F"/>
    <w:rsid w:val="00EA03EC"/>
    <w:rsid w:val="00EA20BE"/>
    <w:rsid w:val="00EA32D9"/>
    <w:rsid w:val="00EA396E"/>
    <w:rsid w:val="00EA3F15"/>
    <w:rsid w:val="00EA5FCF"/>
    <w:rsid w:val="00EA69C9"/>
    <w:rsid w:val="00EA7847"/>
    <w:rsid w:val="00EA7BB7"/>
    <w:rsid w:val="00EB14E1"/>
    <w:rsid w:val="00EB16F4"/>
    <w:rsid w:val="00EB29E1"/>
    <w:rsid w:val="00EB2AD3"/>
    <w:rsid w:val="00EB2F92"/>
    <w:rsid w:val="00EB3006"/>
    <w:rsid w:val="00EB352A"/>
    <w:rsid w:val="00EB3D1E"/>
    <w:rsid w:val="00EB4117"/>
    <w:rsid w:val="00EB432F"/>
    <w:rsid w:val="00EB4C2F"/>
    <w:rsid w:val="00EB500D"/>
    <w:rsid w:val="00EB5054"/>
    <w:rsid w:val="00EC0085"/>
    <w:rsid w:val="00EC09B4"/>
    <w:rsid w:val="00EC1C97"/>
    <w:rsid w:val="00EC24EC"/>
    <w:rsid w:val="00EC3565"/>
    <w:rsid w:val="00EC40A1"/>
    <w:rsid w:val="00EC4195"/>
    <w:rsid w:val="00EC48D4"/>
    <w:rsid w:val="00EC5748"/>
    <w:rsid w:val="00EC5A4B"/>
    <w:rsid w:val="00EC688C"/>
    <w:rsid w:val="00EC714D"/>
    <w:rsid w:val="00ED0150"/>
    <w:rsid w:val="00ED0D19"/>
    <w:rsid w:val="00ED130C"/>
    <w:rsid w:val="00ED2AFF"/>
    <w:rsid w:val="00ED46E1"/>
    <w:rsid w:val="00ED5585"/>
    <w:rsid w:val="00ED5D82"/>
    <w:rsid w:val="00ED5E4E"/>
    <w:rsid w:val="00ED5FF2"/>
    <w:rsid w:val="00ED6811"/>
    <w:rsid w:val="00ED68FF"/>
    <w:rsid w:val="00ED739A"/>
    <w:rsid w:val="00ED7DB3"/>
    <w:rsid w:val="00EE0686"/>
    <w:rsid w:val="00EE0B82"/>
    <w:rsid w:val="00EE14D6"/>
    <w:rsid w:val="00EE1951"/>
    <w:rsid w:val="00EE1A46"/>
    <w:rsid w:val="00EE259D"/>
    <w:rsid w:val="00EE2E6E"/>
    <w:rsid w:val="00EE36B2"/>
    <w:rsid w:val="00EE3FCD"/>
    <w:rsid w:val="00EE4FE4"/>
    <w:rsid w:val="00EE5D30"/>
    <w:rsid w:val="00EE5E46"/>
    <w:rsid w:val="00EE5E86"/>
    <w:rsid w:val="00EE5F87"/>
    <w:rsid w:val="00EE5FCC"/>
    <w:rsid w:val="00EE62C0"/>
    <w:rsid w:val="00EE64AA"/>
    <w:rsid w:val="00EE69B4"/>
    <w:rsid w:val="00EE6F85"/>
    <w:rsid w:val="00EE76C0"/>
    <w:rsid w:val="00EF3279"/>
    <w:rsid w:val="00EF36B3"/>
    <w:rsid w:val="00EF390A"/>
    <w:rsid w:val="00EF442D"/>
    <w:rsid w:val="00EF7848"/>
    <w:rsid w:val="00EF7C88"/>
    <w:rsid w:val="00F00054"/>
    <w:rsid w:val="00F0030B"/>
    <w:rsid w:val="00F0035C"/>
    <w:rsid w:val="00F00B67"/>
    <w:rsid w:val="00F00C90"/>
    <w:rsid w:val="00F01EB4"/>
    <w:rsid w:val="00F02C0E"/>
    <w:rsid w:val="00F0347D"/>
    <w:rsid w:val="00F0357C"/>
    <w:rsid w:val="00F03F76"/>
    <w:rsid w:val="00F044B6"/>
    <w:rsid w:val="00F04810"/>
    <w:rsid w:val="00F049C4"/>
    <w:rsid w:val="00F04C88"/>
    <w:rsid w:val="00F04C90"/>
    <w:rsid w:val="00F04F0D"/>
    <w:rsid w:val="00F05923"/>
    <w:rsid w:val="00F05E07"/>
    <w:rsid w:val="00F065EA"/>
    <w:rsid w:val="00F06CF1"/>
    <w:rsid w:val="00F0759E"/>
    <w:rsid w:val="00F11188"/>
    <w:rsid w:val="00F11688"/>
    <w:rsid w:val="00F119F4"/>
    <w:rsid w:val="00F121AD"/>
    <w:rsid w:val="00F13E43"/>
    <w:rsid w:val="00F14B79"/>
    <w:rsid w:val="00F16881"/>
    <w:rsid w:val="00F16A43"/>
    <w:rsid w:val="00F178D8"/>
    <w:rsid w:val="00F17914"/>
    <w:rsid w:val="00F17B18"/>
    <w:rsid w:val="00F17BEE"/>
    <w:rsid w:val="00F224BD"/>
    <w:rsid w:val="00F231C2"/>
    <w:rsid w:val="00F23220"/>
    <w:rsid w:val="00F2375C"/>
    <w:rsid w:val="00F246AE"/>
    <w:rsid w:val="00F2506A"/>
    <w:rsid w:val="00F261F4"/>
    <w:rsid w:val="00F26CE0"/>
    <w:rsid w:val="00F26E7B"/>
    <w:rsid w:val="00F270E9"/>
    <w:rsid w:val="00F2718C"/>
    <w:rsid w:val="00F27561"/>
    <w:rsid w:val="00F27893"/>
    <w:rsid w:val="00F304FE"/>
    <w:rsid w:val="00F30572"/>
    <w:rsid w:val="00F30906"/>
    <w:rsid w:val="00F3147E"/>
    <w:rsid w:val="00F317BE"/>
    <w:rsid w:val="00F3199B"/>
    <w:rsid w:val="00F34D8C"/>
    <w:rsid w:val="00F35E1F"/>
    <w:rsid w:val="00F35F07"/>
    <w:rsid w:val="00F35F0C"/>
    <w:rsid w:val="00F35F1B"/>
    <w:rsid w:val="00F37A1B"/>
    <w:rsid w:val="00F4017A"/>
    <w:rsid w:val="00F402DD"/>
    <w:rsid w:val="00F40882"/>
    <w:rsid w:val="00F415E0"/>
    <w:rsid w:val="00F419AC"/>
    <w:rsid w:val="00F44682"/>
    <w:rsid w:val="00F46780"/>
    <w:rsid w:val="00F50305"/>
    <w:rsid w:val="00F50490"/>
    <w:rsid w:val="00F50AC4"/>
    <w:rsid w:val="00F51218"/>
    <w:rsid w:val="00F51860"/>
    <w:rsid w:val="00F51A86"/>
    <w:rsid w:val="00F51C53"/>
    <w:rsid w:val="00F52701"/>
    <w:rsid w:val="00F52B93"/>
    <w:rsid w:val="00F532BA"/>
    <w:rsid w:val="00F5337B"/>
    <w:rsid w:val="00F539CD"/>
    <w:rsid w:val="00F54493"/>
    <w:rsid w:val="00F54C48"/>
    <w:rsid w:val="00F5566F"/>
    <w:rsid w:val="00F55812"/>
    <w:rsid w:val="00F559EF"/>
    <w:rsid w:val="00F55A19"/>
    <w:rsid w:val="00F56125"/>
    <w:rsid w:val="00F57709"/>
    <w:rsid w:val="00F57CCB"/>
    <w:rsid w:val="00F6105A"/>
    <w:rsid w:val="00F61C96"/>
    <w:rsid w:val="00F61D38"/>
    <w:rsid w:val="00F6205E"/>
    <w:rsid w:val="00F62166"/>
    <w:rsid w:val="00F62A1B"/>
    <w:rsid w:val="00F63C2B"/>
    <w:rsid w:val="00F64373"/>
    <w:rsid w:val="00F678DC"/>
    <w:rsid w:val="00F70043"/>
    <w:rsid w:val="00F711E5"/>
    <w:rsid w:val="00F72B25"/>
    <w:rsid w:val="00F72B61"/>
    <w:rsid w:val="00F73E95"/>
    <w:rsid w:val="00F74C38"/>
    <w:rsid w:val="00F75023"/>
    <w:rsid w:val="00F7693A"/>
    <w:rsid w:val="00F76BB6"/>
    <w:rsid w:val="00F76C1D"/>
    <w:rsid w:val="00F7760D"/>
    <w:rsid w:val="00F7774E"/>
    <w:rsid w:val="00F7791B"/>
    <w:rsid w:val="00F77B04"/>
    <w:rsid w:val="00F77D2D"/>
    <w:rsid w:val="00F80064"/>
    <w:rsid w:val="00F800C1"/>
    <w:rsid w:val="00F80317"/>
    <w:rsid w:val="00F8199C"/>
    <w:rsid w:val="00F821A3"/>
    <w:rsid w:val="00F821D9"/>
    <w:rsid w:val="00F838A0"/>
    <w:rsid w:val="00F84552"/>
    <w:rsid w:val="00F84896"/>
    <w:rsid w:val="00F86028"/>
    <w:rsid w:val="00F86162"/>
    <w:rsid w:val="00F8748F"/>
    <w:rsid w:val="00F87500"/>
    <w:rsid w:val="00F878E2"/>
    <w:rsid w:val="00F90B0E"/>
    <w:rsid w:val="00F91043"/>
    <w:rsid w:val="00F91C11"/>
    <w:rsid w:val="00F91E5F"/>
    <w:rsid w:val="00F9246F"/>
    <w:rsid w:val="00F9309A"/>
    <w:rsid w:val="00F9314A"/>
    <w:rsid w:val="00F940B2"/>
    <w:rsid w:val="00F9449D"/>
    <w:rsid w:val="00F94E61"/>
    <w:rsid w:val="00F95AF6"/>
    <w:rsid w:val="00F95D08"/>
    <w:rsid w:val="00F97186"/>
    <w:rsid w:val="00F9742E"/>
    <w:rsid w:val="00F975A8"/>
    <w:rsid w:val="00F97F50"/>
    <w:rsid w:val="00FA0C69"/>
    <w:rsid w:val="00FA120D"/>
    <w:rsid w:val="00FA1462"/>
    <w:rsid w:val="00FA148D"/>
    <w:rsid w:val="00FA3B11"/>
    <w:rsid w:val="00FA3D52"/>
    <w:rsid w:val="00FA5BD7"/>
    <w:rsid w:val="00FA5F46"/>
    <w:rsid w:val="00FA620A"/>
    <w:rsid w:val="00FA75EC"/>
    <w:rsid w:val="00FA79DC"/>
    <w:rsid w:val="00FB0781"/>
    <w:rsid w:val="00FB0EEE"/>
    <w:rsid w:val="00FB19E8"/>
    <w:rsid w:val="00FB1DA9"/>
    <w:rsid w:val="00FB24A5"/>
    <w:rsid w:val="00FB2A38"/>
    <w:rsid w:val="00FB34B6"/>
    <w:rsid w:val="00FB397E"/>
    <w:rsid w:val="00FB41DE"/>
    <w:rsid w:val="00FB4C33"/>
    <w:rsid w:val="00FB4D42"/>
    <w:rsid w:val="00FB5CA9"/>
    <w:rsid w:val="00FB5EC8"/>
    <w:rsid w:val="00FB61AB"/>
    <w:rsid w:val="00FB61D1"/>
    <w:rsid w:val="00FB6C27"/>
    <w:rsid w:val="00FB7A02"/>
    <w:rsid w:val="00FC1BD1"/>
    <w:rsid w:val="00FC21CE"/>
    <w:rsid w:val="00FC25E4"/>
    <w:rsid w:val="00FC3379"/>
    <w:rsid w:val="00FC4B39"/>
    <w:rsid w:val="00FC4BFD"/>
    <w:rsid w:val="00FC4D23"/>
    <w:rsid w:val="00FC524D"/>
    <w:rsid w:val="00FC5522"/>
    <w:rsid w:val="00FC5798"/>
    <w:rsid w:val="00FC58EF"/>
    <w:rsid w:val="00FC5ADC"/>
    <w:rsid w:val="00FC64D4"/>
    <w:rsid w:val="00FC71B3"/>
    <w:rsid w:val="00FC783B"/>
    <w:rsid w:val="00FD1049"/>
    <w:rsid w:val="00FD1785"/>
    <w:rsid w:val="00FD30C0"/>
    <w:rsid w:val="00FD33DF"/>
    <w:rsid w:val="00FD3CBE"/>
    <w:rsid w:val="00FD56F6"/>
    <w:rsid w:val="00FD6E4E"/>
    <w:rsid w:val="00FD7055"/>
    <w:rsid w:val="00FD71BE"/>
    <w:rsid w:val="00FE058E"/>
    <w:rsid w:val="00FE304A"/>
    <w:rsid w:val="00FE38A0"/>
    <w:rsid w:val="00FE39D7"/>
    <w:rsid w:val="00FE460F"/>
    <w:rsid w:val="00FE4ECD"/>
    <w:rsid w:val="00FE6205"/>
    <w:rsid w:val="00FE7353"/>
    <w:rsid w:val="00FE771C"/>
    <w:rsid w:val="00FE7BCD"/>
    <w:rsid w:val="00FE7EAA"/>
    <w:rsid w:val="00FF0A41"/>
    <w:rsid w:val="00FF2D46"/>
    <w:rsid w:val="00FF3178"/>
    <w:rsid w:val="00FF34D4"/>
    <w:rsid w:val="00FF3D3D"/>
    <w:rsid w:val="00FF4689"/>
    <w:rsid w:val="00FF48B2"/>
    <w:rsid w:val="00FF691D"/>
    <w:rsid w:val="00FF75C5"/>
    <w:rsid w:val="00FF7A97"/>
    <w:rsid w:val="00FF7A9B"/>
    <w:rsid w:val="00FF7C13"/>
    <w:rsid w:val="3322F8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C065278"/>
  <w15:chartTrackingRefBased/>
  <w15:docId w15:val="{B7E7C510-79F6-48B5-89E0-AE1C5F1D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17"/>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qFormat/>
    <w:rsid w:val="00BF5A0E"/>
    <w:pPr>
      <w:numPr>
        <w:numId w:val="5"/>
      </w:numPr>
      <w:spacing w:before="240" w:after="240"/>
    </w:pPr>
    <w:rPr>
      <w:szCs w:val="20"/>
      <w:lang w:val="es-CO"/>
    </w:rPr>
  </w:style>
  <w:style w:type="character" w:customStyle="1" w:styleId="PrrafodelistaCar">
    <w:name w:val="Párrafo de lista Car"/>
    <w:link w:val="Prrafodelista"/>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526A6A"/>
    <w:pPr>
      <w:keepNext/>
      <w:widowControl w:val="0"/>
      <w:adjustRightInd w:val="0"/>
      <w:spacing w:before="60" w:after="180" w:line="360" w:lineRule="atLeast"/>
      <w:jc w:val="center"/>
      <w:textAlignment w:val="baseline"/>
    </w:pPr>
    <w:rPr>
      <w:sz w:val="22"/>
      <w:szCs w:val="20"/>
    </w:rPr>
  </w:style>
  <w:style w:type="character" w:customStyle="1" w:styleId="DescripcinCar">
    <w:name w:val="Descripción Car"/>
    <w:link w:val="Descripcin"/>
    <w:rsid w:val="00526A6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6"/>
      </w:numPr>
      <w:adjustRightInd w:val="0"/>
      <w:spacing w:before="240" w:after="240" w:line="360" w:lineRule="atLeast"/>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link w:val="CitaCar"/>
    <w:uiPriority w:val="29"/>
    <w:qFormat/>
    <w:rsid w:val="002C35F1"/>
    <w:pPr>
      <w:spacing w:after="0"/>
      <w:ind w:left="284" w:right="142"/>
    </w:pPr>
    <w:rPr>
      <w:rFonts w:eastAsia="Calibri" w:cs="Arial"/>
      <w:i/>
      <w:iCs/>
      <w:color w:val="000000"/>
      <w:sz w:val="22"/>
      <w:lang w:val="es-CO" w:eastAsia="en-US"/>
    </w:rPr>
  </w:style>
  <w:style w:type="character" w:customStyle="1" w:styleId="CitaCar">
    <w:name w:val="Cita Car"/>
    <w:basedOn w:val="Fuentedeprrafopredeter"/>
    <w:link w:val="Cita"/>
    <w:uiPriority w:val="29"/>
    <w:rsid w:val="002C35F1"/>
    <w:rPr>
      <w:rFonts w:ascii="Bookman Old Style" w:eastAsia="Calibri" w:hAnsi="Bookman Old Style" w:cs="Arial"/>
      <w:i/>
      <w:iCs/>
      <w:color w:val="000000"/>
      <w:sz w:val="22"/>
      <w:szCs w:val="24"/>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Prrafodelista"/>
    <w:link w:val="ARTICULOSCar"/>
    <w:autoRedefine/>
    <w:qFormat/>
    <w:rsid w:val="00064621"/>
    <w:pPr>
      <w:numPr>
        <w:numId w:val="7"/>
      </w:numPr>
      <w:spacing w:after="0"/>
      <w:outlineLvl w:val="2"/>
    </w:pPr>
  </w:style>
  <w:style w:type="character" w:customStyle="1" w:styleId="ARTICULOSCar">
    <w:name w:val="ARTICULOS Car"/>
    <w:basedOn w:val="Fuentedeprrafopredeter"/>
    <w:link w:val="ARTICULOS"/>
    <w:rsid w:val="00064621"/>
    <w:rPr>
      <w:rFonts w:ascii="Bookman Old Style" w:hAnsi="Bookman Old Style"/>
      <w:sz w:val="24"/>
      <w:lang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table" w:styleId="Tablaconcuadrculaclara">
    <w:name w:val="Grid Table Light"/>
    <w:basedOn w:val="Tablanormal"/>
    <w:uiPriority w:val="40"/>
    <w:rsid w:val="00231D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61683069">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40470315">
      <w:bodyDiv w:val="1"/>
      <w:marLeft w:val="0"/>
      <w:marRight w:val="0"/>
      <w:marTop w:val="0"/>
      <w:marBottom w:val="0"/>
      <w:divBdr>
        <w:top w:val="none" w:sz="0" w:space="0" w:color="auto"/>
        <w:left w:val="none" w:sz="0" w:space="0" w:color="auto"/>
        <w:bottom w:val="none" w:sz="0" w:space="0" w:color="auto"/>
        <w:right w:val="none" w:sz="0" w:space="0" w:color="auto"/>
      </w:divBdr>
    </w:div>
    <w:div w:id="155464091">
      <w:bodyDiv w:val="1"/>
      <w:marLeft w:val="0"/>
      <w:marRight w:val="0"/>
      <w:marTop w:val="0"/>
      <w:marBottom w:val="0"/>
      <w:divBdr>
        <w:top w:val="none" w:sz="0" w:space="0" w:color="auto"/>
        <w:left w:val="none" w:sz="0" w:space="0" w:color="auto"/>
        <w:bottom w:val="none" w:sz="0" w:space="0" w:color="auto"/>
        <w:right w:val="none" w:sz="0" w:space="0" w:color="auto"/>
      </w:divBdr>
    </w:div>
    <w:div w:id="169174860">
      <w:bodyDiv w:val="1"/>
      <w:marLeft w:val="0"/>
      <w:marRight w:val="0"/>
      <w:marTop w:val="0"/>
      <w:marBottom w:val="0"/>
      <w:divBdr>
        <w:top w:val="none" w:sz="0" w:space="0" w:color="auto"/>
        <w:left w:val="none" w:sz="0" w:space="0" w:color="auto"/>
        <w:bottom w:val="none" w:sz="0" w:space="0" w:color="auto"/>
        <w:right w:val="none" w:sz="0" w:space="0" w:color="auto"/>
      </w:divBdr>
    </w:div>
    <w:div w:id="272370328">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14989952">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349717990">
      <w:bodyDiv w:val="1"/>
      <w:marLeft w:val="0"/>
      <w:marRight w:val="0"/>
      <w:marTop w:val="0"/>
      <w:marBottom w:val="0"/>
      <w:divBdr>
        <w:top w:val="none" w:sz="0" w:space="0" w:color="auto"/>
        <w:left w:val="none" w:sz="0" w:space="0" w:color="auto"/>
        <w:bottom w:val="none" w:sz="0" w:space="0" w:color="auto"/>
        <w:right w:val="none" w:sz="0" w:space="0" w:color="auto"/>
      </w:divBdr>
    </w:div>
    <w:div w:id="427236114">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549733217">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770587005">
      <w:bodyDiv w:val="1"/>
      <w:marLeft w:val="0"/>
      <w:marRight w:val="0"/>
      <w:marTop w:val="0"/>
      <w:marBottom w:val="0"/>
      <w:divBdr>
        <w:top w:val="none" w:sz="0" w:space="0" w:color="auto"/>
        <w:left w:val="none" w:sz="0" w:space="0" w:color="auto"/>
        <w:bottom w:val="none" w:sz="0" w:space="0" w:color="auto"/>
        <w:right w:val="none" w:sz="0" w:space="0" w:color="auto"/>
      </w:divBdr>
    </w:div>
    <w:div w:id="796531852">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1024289228">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39811016">
      <w:bodyDiv w:val="1"/>
      <w:marLeft w:val="0"/>
      <w:marRight w:val="0"/>
      <w:marTop w:val="0"/>
      <w:marBottom w:val="0"/>
      <w:divBdr>
        <w:top w:val="none" w:sz="0" w:space="0" w:color="auto"/>
        <w:left w:val="none" w:sz="0" w:space="0" w:color="auto"/>
        <w:bottom w:val="none" w:sz="0" w:space="0" w:color="auto"/>
        <w:right w:val="none" w:sz="0" w:space="0" w:color="auto"/>
      </w:divBdr>
      <w:divsChild>
        <w:div w:id="1759861286">
          <w:marLeft w:val="806"/>
          <w:marRight w:val="0"/>
          <w:marTop w:val="0"/>
          <w:marBottom w:val="0"/>
          <w:divBdr>
            <w:top w:val="none" w:sz="0" w:space="0" w:color="auto"/>
            <w:left w:val="none" w:sz="0" w:space="0" w:color="auto"/>
            <w:bottom w:val="none" w:sz="0" w:space="0" w:color="auto"/>
            <w:right w:val="none" w:sz="0" w:space="0" w:color="auto"/>
          </w:divBdr>
        </w:div>
        <w:div w:id="1651247244">
          <w:marLeft w:val="806"/>
          <w:marRight w:val="0"/>
          <w:marTop w:val="0"/>
          <w:marBottom w:val="0"/>
          <w:divBdr>
            <w:top w:val="none" w:sz="0" w:space="0" w:color="auto"/>
            <w:left w:val="none" w:sz="0" w:space="0" w:color="auto"/>
            <w:bottom w:val="none" w:sz="0" w:space="0" w:color="auto"/>
            <w:right w:val="none" w:sz="0" w:space="0" w:color="auto"/>
          </w:divBdr>
        </w:div>
        <w:div w:id="635838258">
          <w:marLeft w:val="806"/>
          <w:marRight w:val="0"/>
          <w:marTop w:val="0"/>
          <w:marBottom w:val="0"/>
          <w:divBdr>
            <w:top w:val="none" w:sz="0" w:space="0" w:color="auto"/>
            <w:left w:val="none" w:sz="0" w:space="0" w:color="auto"/>
            <w:bottom w:val="none" w:sz="0" w:space="0" w:color="auto"/>
            <w:right w:val="none" w:sz="0" w:space="0" w:color="auto"/>
          </w:divBdr>
        </w:div>
      </w:divsChild>
    </w:div>
    <w:div w:id="1183788956">
      <w:bodyDiv w:val="1"/>
      <w:marLeft w:val="0"/>
      <w:marRight w:val="0"/>
      <w:marTop w:val="0"/>
      <w:marBottom w:val="0"/>
      <w:divBdr>
        <w:top w:val="none" w:sz="0" w:space="0" w:color="auto"/>
        <w:left w:val="none" w:sz="0" w:space="0" w:color="auto"/>
        <w:bottom w:val="none" w:sz="0" w:space="0" w:color="auto"/>
        <w:right w:val="none" w:sz="0" w:space="0" w:color="auto"/>
      </w:divBdr>
    </w:div>
    <w:div w:id="1239172316">
      <w:bodyDiv w:val="1"/>
      <w:marLeft w:val="0"/>
      <w:marRight w:val="0"/>
      <w:marTop w:val="0"/>
      <w:marBottom w:val="0"/>
      <w:divBdr>
        <w:top w:val="none" w:sz="0" w:space="0" w:color="auto"/>
        <w:left w:val="none" w:sz="0" w:space="0" w:color="auto"/>
        <w:bottom w:val="none" w:sz="0" w:space="0" w:color="auto"/>
        <w:right w:val="none" w:sz="0" w:space="0" w:color="auto"/>
      </w:divBdr>
    </w:div>
    <w:div w:id="1300456272">
      <w:bodyDiv w:val="1"/>
      <w:marLeft w:val="0"/>
      <w:marRight w:val="0"/>
      <w:marTop w:val="0"/>
      <w:marBottom w:val="0"/>
      <w:divBdr>
        <w:top w:val="none" w:sz="0" w:space="0" w:color="auto"/>
        <w:left w:val="none" w:sz="0" w:space="0" w:color="auto"/>
        <w:bottom w:val="none" w:sz="0" w:space="0" w:color="auto"/>
        <w:right w:val="none" w:sz="0" w:space="0" w:color="auto"/>
      </w:divBdr>
    </w:div>
    <w:div w:id="1364792524">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393852362">
      <w:bodyDiv w:val="1"/>
      <w:marLeft w:val="0"/>
      <w:marRight w:val="0"/>
      <w:marTop w:val="0"/>
      <w:marBottom w:val="0"/>
      <w:divBdr>
        <w:top w:val="none" w:sz="0" w:space="0" w:color="auto"/>
        <w:left w:val="none" w:sz="0" w:space="0" w:color="auto"/>
        <w:bottom w:val="none" w:sz="0" w:space="0" w:color="auto"/>
        <w:right w:val="none" w:sz="0" w:space="0" w:color="auto"/>
      </w:divBdr>
    </w:div>
    <w:div w:id="140826764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48542780">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00729251">
      <w:bodyDiv w:val="1"/>
      <w:marLeft w:val="0"/>
      <w:marRight w:val="0"/>
      <w:marTop w:val="0"/>
      <w:marBottom w:val="0"/>
      <w:divBdr>
        <w:top w:val="none" w:sz="0" w:space="0" w:color="auto"/>
        <w:left w:val="none" w:sz="0" w:space="0" w:color="auto"/>
        <w:bottom w:val="none" w:sz="0" w:space="0" w:color="auto"/>
        <w:right w:val="none" w:sz="0" w:space="0" w:color="auto"/>
      </w:divBdr>
    </w:div>
    <w:div w:id="1534150548">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39999313">
      <w:bodyDiv w:val="1"/>
      <w:marLeft w:val="0"/>
      <w:marRight w:val="0"/>
      <w:marTop w:val="0"/>
      <w:marBottom w:val="0"/>
      <w:divBdr>
        <w:top w:val="none" w:sz="0" w:space="0" w:color="auto"/>
        <w:left w:val="none" w:sz="0" w:space="0" w:color="auto"/>
        <w:bottom w:val="none" w:sz="0" w:space="0" w:color="auto"/>
        <w:right w:val="none" w:sz="0" w:space="0" w:color="auto"/>
      </w:divBdr>
      <w:divsChild>
        <w:div w:id="352850187">
          <w:marLeft w:val="0"/>
          <w:marRight w:val="0"/>
          <w:marTop w:val="0"/>
          <w:marBottom w:val="0"/>
          <w:divBdr>
            <w:top w:val="none" w:sz="0" w:space="0" w:color="auto"/>
            <w:left w:val="none" w:sz="0" w:space="0" w:color="auto"/>
            <w:bottom w:val="none" w:sz="0" w:space="0" w:color="auto"/>
            <w:right w:val="none" w:sz="0" w:space="0" w:color="auto"/>
          </w:divBdr>
        </w:div>
      </w:divsChild>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48344901">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28628797">
      <w:bodyDiv w:val="1"/>
      <w:marLeft w:val="0"/>
      <w:marRight w:val="0"/>
      <w:marTop w:val="0"/>
      <w:marBottom w:val="0"/>
      <w:divBdr>
        <w:top w:val="none" w:sz="0" w:space="0" w:color="auto"/>
        <w:left w:val="none" w:sz="0" w:space="0" w:color="auto"/>
        <w:bottom w:val="none" w:sz="0" w:space="0" w:color="auto"/>
        <w:right w:val="none" w:sz="0" w:space="0" w:color="auto"/>
      </w:divBdr>
    </w:div>
    <w:div w:id="2030794680">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62168116">
      <w:bodyDiv w:val="1"/>
      <w:marLeft w:val="0"/>
      <w:marRight w:val="0"/>
      <w:marTop w:val="0"/>
      <w:marBottom w:val="0"/>
      <w:divBdr>
        <w:top w:val="none" w:sz="0" w:space="0" w:color="auto"/>
        <w:left w:val="none" w:sz="0" w:space="0" w:color="auto"/>
        <w:bottom w:val="none" w:sz="0" w:space="0" w:color="auto"/>
        <w:right w:val="none" w:sz="0" w:space="0" w:color="auto"/>
      </w:divBdr>
    </w:div>
    <w:div w:id="2062821070">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0751286-a4e8-4d8a-ac9c-f8504c42fcfb" xsi:nil="true"/>
    <lcf76f155ced4ddcb4097134ff3c332f xmlns="ea559356-b7d8-492d-9298-14d0ebe6e63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B75C9467655B364DB1409EA5590C6EC3" ma:contentTypeVersion="16" ma:contentTypeDescription="Crear nuevo documento." ma:contentTypeScope="" ma:versionID="26ebcfc75760c5c8914f6a2960154e34">
  <xsd:schema xmlns:xsd="http://www.w3.org/2001/XMLSchema" xmlns:xs="http://www.w3.org/2001/XMLSchema" xmlns:p="http://schemas.microsoft.com/office/2006/metadata/properties" xmlns:ns2="ea559356-b7d8-492d-9298-14d0ebe6e63f" xmlns:ns3="70751286-a4e8-4d8a-ac9c-f8504c42fcfb" targetNamespace="http://schemas.microsoft.com/office/2006/metadata/properties" ma:root="true" ma:fieldsID="e5066bfa002814d483144969be26a396" ns2:_="" ns3:_="">
    <xsd:import namespace="ea559356-b7d8-492d-9298-14d0ebe6e63f"/>
    <xsd:import namespace="70751286-a4e8-4d8a-ac9c-f8504c42fc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59356-b7d8-492d-9298-14d0ebe6e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751286-a4e8-4d8a-ac9c-f8504c42fcf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ddcbfe68-259a-44b1-ad9e-2c1f59d7cbd9}" ma:internalName="TaxCatchAll" ma:showField="CatchAllData" ma:web="70751286-a4e8-4d8a-ac9c-f8504c42fc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37BBF-3A80-4B36-83CC-8D1B470D89CF}">
  <ds:schemaRefs>
    <ds:schemaRef ds:uri="http://schemas.microsoft.com/office/2006/metadata/properties"/>
    <ds:schemaRef ds:uri="http://schemas.microsoft.com/office/infopath/2007/PartnerControls"/>
    <ds:schemaRef ds:uri="70751286-a4e8-4d8a-ac9c-f8504c42fcfb"/>
    <ds:schemaRef ds:uri="ea559356-b7d8-492d-9298-14d0ebe6e63f"/>
  </ds:schemaRefs>
</ds:datastoreItem>
</file>

<file path=customXml/itemProps2.xml><?xml version="1.0" encoding="utf-8"?>
<ds:datastoreItem xmlns:ds="http://schemas.openxmlformats.org/officeDocument/2006/customXml" ds:itemID="{A5A5FBCD-D49D-4F7E-AFBE-B5DDBCCA5252}">
  <ds:schemaRefs>
    <ds:schemaRef ds:uri="http://schemas.openxmlformats.org/officeDocument/2006/bibliography"/>
  </ds:schemaRefs>
</ds:datastoreItem>
</file>

<file path=customXml/itemProps3.xml><?xml version="1.0" encoding="utf-8"?>
<ds:datastoreItem xmlns:ds="http://schemas.openxmlformats.org/officeDocument/2006/customXml" ds:itemID="{6BADBE3F-DBA9-4ECF-A297-724B88313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59356-b7d8-492d-9298-14d0ebe6e63f"/>
    <ds:schemaRef ds:uri="70751286-a4e8-4d8a-ac9c-f8504c42f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34AC77-63C2-4AD4-BE15-647C772175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636</TotalTime>
  <Pages>12</Pages>
  <Words>4871</Words>
  <Characters>24069</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Diana Patino</cp:lastModifiedBy>
  <cp:revision>36</cp:revision>
  <cp:lastPrinted>2023-01-27T16:52:00Z</cp:lastPrinted>
  <dcterms:created xsi:type="dcterms:W3CDTF">2022-12-22T23:08:00Z</dcterms:created>
  <dcterms:modified xsi:type="dcterms:W3CDTF">2023-01-27T16:53:00Z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0x0101009DF4F6653A4F8C489FD3197545AEEE09</vt:lpwstr>
  </property>
  <property fmtid="{D5CDD505-2E9C-101B-9397-08002B2CF9AE}" pid="3" name="MediaServiceImageTags">
    <vt:lpwstr/>
  </property>
</Properties>
</file>